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53BBF80">
      <w:pPr>
        <w:keepNext w:val="0"/>
        <w:keepLines w:val="0"/>
        <w:pageBreakBefore w:val="0"/>
        <w:kinsoku/>
        <w:wordWrap/>
        <w:overflowPunct/>
        <w:topLinePunct w:val="0"/>
        <w:bidi w:val="0"/>
        <w:textAlignment w:val="auto"/>
        <w:rPr>
          <w:rFonts w:ascii="Times New Roman" w:hAnsi="Times New Roman" w:eastAsia="黑体" w:cs="Times New Roman"/>
          <w:bCs/>
          <w:sz w:val="28"/>
        </w:rPr>
      </w:pPr>
    </w:p>
    <w:tbl>
      <w:tblPr>
        <w:tblStyle w:val="7"/>
        <w:tblW w:w="3880" w:type="dxa"/>
        <w:tblInd w:w="4774"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4" w:type="dxa"/>
          <w:bottom w:w="0" w:type="dxa"/>
          <w:right w:w="14" w:type="dxa"/>
        </w:tblCellMar>
      </w:tblPr>
      <w:tblGrid>
        <w:gridCol w:w="2080"/>
        <w:gridCol w:w="1800"/>
      </w:tblGrid>
      <w:tr w14:paraId="4A7C874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4" w:type="dxa"/>
            <w:bottom w:w="0" w:type="dxa"/>
            <w:right w:w="14" w:type="dxa"/>
          </w:tblCellMar>
        </w:tblPrEx>
        <w:trPr>
          <w:cantSplit/>
          <w:trHeight w:val="454" w:hRule="atLeast"/>
        </w:trPr>
        <w:tc>
          <w:tcPr>
            <w:tcW w:w="2080" w:type="dxa"/>
            <w:vAlign w:val="center"/>
          </w:tcPr>
          <w:p w14:paraId="78D8D310">
            <w:pPr>
              <w:keepNext w:val="0"/>
              <w:keepLines w:val="0"/>
              <w:pageBreakBefore w:val="0"/>
              <w:kinsoku/>
              <w:wordWrap/>
              <w:overflowPunct/>
              <w:topLinePunct w:val="0"/>
              <w:bidi w:val="0"/>
              <w:snapToGrid w:val="0"/>
              <w:jc w:val="center"/>
              <w:textAlignment w:val="auto"/>
              <w:rPr>
                <w:rFonts w:ascii="Times New Roman" w:hAnsi="Times New Roman" w:eastAsia="楷体_GB2312" w:cs="Times New Roman"/>
              </w:rPr>
            </w:pPr>
            <w:r>
              <w:rPr>
                <w:rFonts w:ascii="Times New Roman" w:hAnsi="Times New Roman" w:eastAsia="楷体_GB2312" w:cs="Times New Roman"/>
              </w:rPr>
              <w:t>批准立项年份</w:t>
            </w:r>
          </w:p>
        </w:tc>
        <w:tc>
          <w:tcPr>
            <w:tcW w:w="1800" w:type="dxa"/>
            <w:vAlign w:val="center"/>
          </w:tcPr>
          <w:p w14:paraId="0C0D758A">
            <w:pPr>
              <w:keepNext w:val="0"/>
              <w:keepLines w:val="0"/>
              <w:pageBreakBefore w:val="0"/>
              <w:kinsoku/>
              <w:wordWrap/>
              <w:overflowPunct/>
              <w:topLinePunct w:val="0"/>
              <w:bidi w:val="0"/>
              <w:snapToGrid w:val="0"/>
              <w:jc w:val="center"/>
              <w:textAlignment w:val="auto"/>
              <w:rPr>
                <w:rFonts w:ascii="Times New Roman" w:hAnsi="Times New Roman" w:eastAsia="楷体_GB2312" w:cs="Times New Roman"/>
              </w:rPr>
            </w:pPr>
            <w:r>
              <w:rPr>
                <w:rFonts w:hint="eastAsia" w:ascii="Times New Roman" w:hAnsi="Times New Roman" w:eastAsia="楷体_GB2312" w:cs="Times New Roman"/>
              </w:rPr>
              <w:t>2007</w:t>
            </w:r>
          </w:p>
        </w:tc>
      </w:tr>
      <w:tr w14:paraId="396CCC1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4" w:type="dxa"/>
            <w:bottom w:w="0" w:type="dxa"/>
            <w:right w:w="14" w:type="dxa"/>
          </w:tblCellMar>
        </w:tblPrEx>
        <w:trPr>
          <w:cantSplit/>
          <w:trHeight w:val="454" w:hRule="atLeast"/>
        </w:trPr>
        <w:tc>
          <w:tcPr>
            <w:tcW w:w="2080" w:type="dxa"/>
            <w:vAlign w:val="center"/>
          </w:tcPr>
          <w:p w14:paraId="48918BE3">
            <w:pPr>
              <w:keepNext w:val="0"/>
              <w:keepLines w:val="0"/>
              <w:pageBreakBefore w:val="0"/>
              <w:kinsoku/>
              <w:wordWrap/>
              <w:overflowPunct/>
              <w:topLinePunct w:val="0"/>
              <w:bidi w:val="0"/>
              <w:snapToGrid w:val="0"/>
              <w:jc w:val="center"/>
              <w:textAlignment w:val="auto"/>
              <w:rPr>
                <w:rFonts w:ascii="Times New Roman" w:hAnsi="Times New Roman" w:eastAsia="楷体_GB2312" w:cs="Times New Roman"/>
              </w:rPr>
            </w:pPr>
            <w:r>
              <w:rPr>
                <w:rFonts w:ascii="Times New Roman" w:hAnsi="Times New Roman" w:eastAsia="楷体_GB2312" w:cs="Times New Roman"/>
              </w:rPr>
              <w:t>通过验收年份</w:t>
            </w:r>
          </w:p>
        </w:tc>
        <w:tc>
          <w:tcPr>
            <w:tcW w:w="1800" w:type="dxa"/>
            <w:vAlign w:val="center"/>
          </w:tcPr>
          <w:p w14:paraId="64DBF99A">
            <w:pPr>
              <w:keepNext w:val="0"/>
              <w:keepLines w:val="0"/>
              <w:pageBreakBefore w:val="0"/>
              <w:kinsoku/>
              <w:wordWrap/>
              <w:overflowPunct/>
              <w:topLinePunct w:val="0"/>
              <w:bidi w:val="0"/>
              <w:snapToGrid w:val="0"/>
              <w:jc w:val="center"/>
              <w:textAlignment w:val="auto"/>
              <w:rPr>
                <w:rFonts w:ascii="Times New Roman" w:hAnsi="Times New Roman" w:eastAsia="楷体_GB2312" w:cs="Times New Roman"/>
              </w:rPr>
            </w:pPr>
            <w:r>
              <w:rPr>
                <w:rFonts w:hint="eastAsia" w:ascii="Times New Roman" w:hAnsi="Times New Roman" w:eastAsia="楷体_GB2312" w:cs="Times New Roman"/>
              </w:rPr>
              <w:t>2012</w:t>
            </w:r>
          </w:p>
        </w:tc>
      </w:tr>
    </w:tbl>
    <w:p w14:paraId="06B8EFA2">
      <w:pPr>
        <w:keepNext w:val="0"/>
        <w:keepLines w:val="0"/>
        <w:pageBreakBefore w:val="0"/>
        <w:kinsoku/>
        <w:wordWrap/>
        <w:overflowPunct/>
        <w:topLinePunct w:val="0"/>
        <w:bidi w:val="0"/>
        <w:textAlignment w:val="auto"/>
        <w:rPr>
          <w:rFonts w:ascii="Times New Roman" w:hAnsi="Times New Roman" w:eastAsia="楷体_GB2312" w:cs="Times New Roman"/>
          <w:sz w:val="28"/>
        </w:rPr>
      </w:pPr>
    </w:p>
    <w:p w14:paraId="78C458C6">
      <w:pPr>
        <w:keepNext w:val="0"/>
        <w:keepLines w:val="0"/>
        <w:pageBreakBefore w:val="0"/>
        <w:kinsoku/>
        <w:wordWrap/>
        <w:overflowPunct/>
        <w:topLinePunct w:val="0"/>
        <w:bidi w:val="0"/>
        <w:textAlignment w:val="auto"/>
        <w:rPr>
          <w:rFonts w:ascii="Times New Roman" w:hAnsi="Times New Roman" w:eastAsia="楷体_GB2312" w:cs="Times New Roman"/>
          <w:sz w:val="28"/>
        </w:rPr>
      </w:pPr>
    </w:p>
    <w:p w14:paraId="21B4F587">
      <w:pPr>
        <w:keepNext w:val="0"/>
        <w:keepLines w:val="0"/>
        <w:pageBreakBefore w:val="0"/>
        <w:kinsoku/>
        <w:wordWrap/>
        <w:overflowPunct/>
        <w:topLinePunct w:val="0"/>
        <w:bidi w:val="0"/>
        <w:textAlignment w:val="auto"/>
        <w:rPr>
          <w:rFonts w:ascii="Times New Roman" w:hAnsi="Times New Roman" w:eastAsia="楷体_GB2312" w:cs="Times New Roman"/>
          <w:sz w:val="28"/>
        </w:rPr>
      </w:pPr>
    </w:p>
    <w:p w14:paraId="77666A97">
      <w:pPr>
        <w:keepNext w:val="0"/>
        <w:keepLines w:val="0"/>
        <w:pageBreakBefore w:val="0"/>
        <w:kinsoku/>
        <w:wordWrap/>
        <w:overflowPunct/>
        <w:topLinePunct w:val="0"/>
        <w:bidi w:val="0"/>
        <w:jc w:val="center"/>
        <w:textAlignment w:val="auto"/>
        <w:rPr>
          <w:rFonts w:ascii="Times New Roman" w:hAnsi="Times New Roman" w:eastAsia="楷体_GB2312" w:cs="Times New Roman"/>
          <w:sz w:val="28"/>
        </w:rPr>
      </w:pPr>
      <w:r>
        <w:rPr>
          <w:rFonts w:hint="eastAsia" w:ascii="Times New Roman" w:hAnsi="Times New Roman" w:eastAsia="黑体" w:cs="Times New Roman"/>
          <w:b/>
          <w:sz w:val="44"/>
        </w:rPr>
        <w:t>国家级实验教学示范中心年度报告</w:t>
      </w:r>
    </w:p>
    <w:p w14:paraId="7701068A">
      <w:pPr>
        <w:keepNext w:val="0"/>
        <w:keepLines w:val="0"/>
        <w:pageBreakBefore w:val="0"/>
        <w:kinsoku/>
        <w:wordWrap/>
        <w:overflowPunct/>
        <w:topLinePunct w:val="0"/>
        <w:bidi w:val="0"/>
        <w:jc w:val="center"/>
        <w:textAlignment w:val="auto"/>
        <w:rPr>
          <w:rFonts w:ascii="Times New Roman" w:hAnsi="Times New Roman" w:eastAsia="楷体_GB2312" w:cs="Times New Roman"/>
          <w:sz w:val="28"/>
        </w:rPr>
      </w:pPr>
      <w:r>
        <w:rPr>
          <w:rFonts w:ascii="Times New Roman" w:hAnsi="Times New Roman" w:eastAsia="楷体_GB2312" w:cs="Times New Roman"/>
          <w:sz w:val="28"/>
        </w:rPr>
        <w:t>（20</w:t>
      </w:r>
      <w:r>
        <w:rPr>
          <w:rFonts w:hint="eastAsia" w:ascii="Times New Roman" w:hAnsi="Times New Roman" w:eastAsia="楷体_GB2312" w:cs="Times New Roman"/>
          <w:sz w:val="28"/>
        </w:rPr>
        <w:t>24</w:t>
      </w:r>
      <w:r>
        <w:rPr>
          <w:rFonts w:ascii="Times New Roman" w:hAnsi="Times New Roman" w:eastAsia="楷体_GB2312" w:cs="Times New Roman"/>
          <w:sz w:val="28"/>
        </w:rPr>
        <w:t>年1月</w:t>
      </w:r>
      <w:r>
        <w:rPr>
          <w:rFonts w:hint="eastAsia" w:ascii="Times New Roman" w:hAnsi="Times New Roman" w:eastAsia="楷体_GB2312" w:cs="Times New Roman"/>
          <w:sz w:val="28"/>
        </w:rPr>
        <w:t>1日</w:t>
      </w:r>
      <w:r>
        <w:rPr>
          <w:rFonts w:ascii="Times New Roman" w:hAnsi="Times New Roman" w:eastAsia="楷体_GB2312" w:cs="Times New Roman"/>
          <w:sz w:val="28"/>
        </w:rPr>
        <w:t>——20</w:t>
      </w:r>
      <w:r>
        <w:rPr>
          <w:rFonts w:hint="eastAsia" w:ascii="Times New Roman" w:hAnsi="Times New Roman" w:eastAsia="楷体_GB2312" w:cs="Times New Roman"/>
          <w:sz w:val="28"/>
        </w:rPr>
        <w:t>24</w:t>
      </w:r>
      <w:r>
        <w:rPr>
          <w:rFonts w:ascii="Times New Roman" w:hAnsi="Times New Roman" w:eastAsia="楷体_GB2312" w:cs="Times New Roman"/>
          <w:sz w:val="28"/>
        </w:rPr>
        <w:t>年12月</w:t>
      </w:r>
      <w:r>
        <w:rPr>
          <w:rFonts w:hint="eastAsia" w:ascii="Times New Roman" w:hAnsi="Times New Roman" w:eastAsia="楷体_GB2312" w:cs="Times New Roman"/>
          <w:sz w:val="28"/>
        </w:rPr>
        <w:t>31日</w:t>
      </w:r>
      <w:r>
        <w:rPr>
          <w:rFonts w:ascii="Times New Roman" w:hAnsi="Times New Roman" w:eastAsia="楷体_GB2312" w:cs="Times New Roman"/>
          <w:sz w:val="28"/>
        </w:rPr>
        <w:t>）</w:t>
      </w:r>
    </w:p>
    <w:p w14:paraId="449FFE9C">
      <w:pPr>
        <w:keepNext w:val="0"/>
        <w:keepLines w:val="0"/>
        <w:pageBreakBefore w:val="0"/>
        <w:kinsoku/>
        <w:wordWrap/>
        <w:overflowPunct/>
        <w:topLinePunct w:val="0"/>
        <w:bidi w:val="0"/>
        <w:textAlignment w:val="auto"/>
        <w:rPr>
          <w:rFonts w:ascii="Times New Roman" w:hAnsi="Times New Roman" w:eastAsia="楷体_GB2312" w:cs="Times New Roman"/>
          <w:sz w:val="28"/>
        </w:rPr>
      </w:pPr>
    </w:p>
    <w:p w14:paraId="52131145">
      <w:pPr>
        <w:keepNext w:val="0"/>
        <w:keepLines w:val="0"/>
        <w:pageBreakBefore w:val="0"/>
        <w:kinsoku/>
        <w:wordWrap/>
        <w:overflowPunct/>
        <w:topLinePunct w:val="0"/>
        <w:bidi w:val="0"/>
        <w:textAlignment w:val="auto"/>
        <w:rPr>
          <w:rFonts w:ascii="Times New Roman" w:hAnsi="Times New Roman" w:eastAsia="楷体_GB2312" w:cs="Times New Roman"/>
          <w:sz w:val="28"/>
        </w:rPr>
      </w:pPr>
    </w:p>
    <w:p w14:paraId="680AB273">
      <w:pPr>
        <w:keepNext w:val="0"/>
        <w:keepLines w:val="0"/>
        <w:pageBreakBefore w:val="0"/>
        <w:kinsoku/>
        <w:wordWrap/>
        <w:overflowPunct/>
        <w:topLinePunct w:val="0"/>
        <w:bidi w:val="0"/>
        <w:textAlignment w:val="auto"/>
        <w:rPr>
          <w:rFonts w:ascii="Times New Roman" w:hAnsi="Times New Roman" w:eastAsia="楷体_GB2312" w:cs="Times New Roman"/>
          <w:b/>
          <w:sz w:val="28"/>
        </w:rPr>
      </w:pPr>
    </w:p>
    <w:p w14:paraId="57C32840">
      <w:pPr>
        <w:keepNext w:val="0"/>
        <w:keepLines w:val="0"/>
        <w:pageBreakBefore w:val="0"/>
        <w:kinsoku/>
        <w:wordWrap/>
        <w:overflowPunct/>
        <w:topLinePunct w:val="0"/>
        <w:bidi w:val="0"/>
        <w:spacing w:after="120" w:line="440" w:lineRule="exact"/>
        <w:textAlignment w:val="auto"/>
        <w:rPr>
          <w:rFonts w:ascii="Times New Roman" w:hAnsi="Times New Roman" w:eastAsia="楷体_GB2312" w:cs="Times New Roman"/>
          <w:b/>
          <w:sz w:val="28"/>
        </w:rPr>
      </w:pPr>
      <w:r>
        <w:rPr>
          <w:rFonts w:hint="eastAsia" w:ascii="Times New Roman" w:hAnsi="Times New Roman" w:eastAsia="楷体_GB2312" w:cs="Times New Roman"/>
          <w:b/>
          <w:sz w:val="28"/>
        </w:rPr>
        <w:t>示范中心名称：</w:t>
      </w:r>
      <w:r>
        <w:rPr>
          <w:rFonts w:ascii="楷体" w:hAnsi="楷体" w:eastAsia="楷体"/>
          <w:b/>
          <w:sz w:val="28"/>
          <w:szCs w:val="28"/>
        </w:rPr>
        <w:t>华西口腔医学基础</w:t>
      </w:r>
      <w:r>
        <w:rPr>
          <w:rFonts w:hint="eastAsia" w:ascii="楷体" w:hAnsi="楷体" w:eastAsia="楷体"/>
          <w:b/>
          <w:sz w:val="28"/>
          <w:szCs w:val="28"/>
        </w:rPr>
        <w:t>国家级</w:t>
      </w:r>
      <w:r>
        <w:rPr>
          <w:rFonts w:ascii="楷体" w:hAnsi="楷体" w:eastAsia="楷体"/>
          <w:b/>
          <w:sz w:val="28"/>
          <w:szCs w:val="28"/>
        </w:rPr>
        <w:t>实验教学</w:t>
      </w:r>
      <w:r>
        <w:rPr>
          <w:rFonts w:hint="eastAsia" w:ascii="楷体" w:hAnsi="楷体" w:eastAsia="楷体"/>
          <w:b/>
          <w:sz w:val="28"/>
          <w:szCs w:val="28"/>
        </w:rPr>
        <w:t>示范</w:t>
      </w:r>
      <w:r>
        <w:rPr>
          <w:rFonts w:ascii="楷体" w:hAnsi="楷体" w:eastAsia="楷体"/>
          <w:b/>
          <w:sz w:val="28"/>
          <w:szCs w:val="28"/>
        </w:rPr>
        <w:t>中心</w:t>
      </w:r>
      <w:r>
        <w:rPr>
          <w:rFonts w:hint="eastAsia" w:ascii="楷体" w:hAnsi="楷体" w:eastAsia="楷体"/>
          <w:b/>
          <w:sz w:val="28"/>
          <w:szCs w:val="28"/>
        </w:rPr>
        <w:t>（四川大学）</w:t>
      </w:r>
    </w:p>
    <w:p w14:paraId="2CE65EF4">
      <w:pPr>
        <w:keepNext w:val="0"/>
        <w:keepLines w:val="0"/>
        <w:pageBreakBefore w:val="0"/>
        <w:kinsoku/>
        <w:wordWrap/>
        <w:overflowPunct/>
        <w:topLinePunct w:val="0"/>
        <w:bidi w:val="0"/>
        <w:spacing w:after="120" w:line="440" w:lineRule="exact"/>
        <w:textAlignment w:val="auto"/>
        <w:rPr>
          <w:rFonts w:ascii="Times New Roman" w:hAnsi="Times New Roman" w:eastAsia="楷体_GB2312" w:cs="Times New Roman"/>
          <w:b/>
          <w:sz w:val="28"/>
        </w:rPr>
      </w:pPr>
      <w:r>
        <w:rPr>
          <w:rFonts w:hint="eastAsia" w:ascii="Times New Roman" w:hAnsi="Times New Roman" w:eastAsia="楷体_GB2312" w:cs="Times New Roman"/>
          <w:b/>
          <w:sz w:val="28"/>
        </w:rPr>
        <w:t>示范中心主任：</w:t>
      </w:r>
      <w:r>
        <w:rPr>
          <w:rFonts w:hint="eastAsia" w:ascii="楷体" w:hAnsi="楷体" w:eastAsia="楷体"/>
          <w:b/>
          <w:sz w:val="28"/>
          <w:szCs w:val="28"/>
        </w:rPr>
        <w:t>叶玲</w:t>
      </w:r>
    </w:p>
    <w:p w14:paraId="0B8D64C0">
      <w:pPr>
        <w:keepNext w:val="0"/>
        <w:keepLines w:val="0"/>
        <w:pageBreakBefore w:val="0"/>
        <w:kinsoku/>
        <w:wordWrap/>
        <w:overflowPunct/>
        <w:topLinePunct w:val="0"/>
        <w:bidi w:val="0"/>
        <w:spacing w:after="120" w:line="440" w:lineRule="exact"/>
        <w:textAlignment w:val="auto"/>
        <w:rPr>
          <w:rFonts w:ascii="Times New Roman" w:hAnsi="Times New Roman" w:eastAsia="楷体_GB2312" w:cs="Times New Roman"/>
          <w:b/>
          <w:sz w:val="28"/>
        </w:rPr>
      </w:pPr>
      <w:r>
        <w:rPr>
          <w:rFonts w:hint="eastAsia" w:ascii="Times New Roman" w:hAnsi="Times New Roman" w:eastAsia="楷体_GB2312" w:cs="Times New Roman"/>
          <w:b/>
          <w:sz w:val="28"/>
        </w:rPr>
        <w:t>示范中心联系人及联系电话：</w:t>
      </w:r>
      <w:r>
        <w:rPr>
          <w:rFonts w:hint="eastAsia" w:ascii="楷体" w:hAnsi="楷体" w:eastAsia="楷体"/>
          <w:b/>
          <w:sz w:val="28"/>
          <w:szCs w:val="28"/>
        </w:rPr>
        <w:t>郑庆华/028-85503471</w:t>
      </w:r>
    </w:p>
    <w:p w14:paraId="478B429B">
      <w:pPr>
        <w:keepNext w:val="0"/>
        <w:keepLines w:val="0"/>
        <w:pageBreakBefore w:val="0"/>
        <w:kinsoku/>
        <w:wordWrap/>
        <w:overflowPunct/>
        <w:topLinePunct w:val="0"/>
        <w:bidi w:val="0"/>
        <w:spacing w:after="120" w:line="440" w:lineRule="exact"/>
        <w:textAlignment w:val="auto"/>
        <w:rPr>
          <w:rFonts w:ascii="Times New Roman" w:hAnsi="Times New Roman" w:eastAsia="楷体_GB2312" w:cs="Times New Roman"/>
          <w:b/>
          <w:sz w:val="28"/>
        </w:rPr>
      </w:pPr>
      <w:r>
        <w:rPr>
          <w:rFonts w:hint="eastAsia" w:ascii="Times New Roman" w:hAnsi="Times New Roman" w:eastAsia="楷体_GB2312" w:cs="Times New Roman"/>
          <w:b/>
          <w:sz w:val="28"/>
        </w:rPr>
        <w:t>所在学校名称：四川大学</w:t>
      </w:r>
    </w:p>
    <w:p w14:paraId="3CBB5DB4">
      <w:pPr>
        <w:keepNext w:val="0"/>
        <w:keepLines w:val="0"/>
        <w:pageBreakBefore w:val="0"/>
        <w:kinsoku/>
        <w:wordWrap/>
        <w:overflowPunct/>
        <w:topLinePunct w:val="0"/>
        <w:bidi w:val="0"/>
        <w:spacing w:after="120" w:line="440" w:lineRule="exact"/>
        <w:textAlignment w:val="auto"/>
        <w:rPr>
          <w:rFonts w:ascii="Times New Roman" w:hAnsi="Times New Roman" w:eastAsia="楷体_GB2312" w:cs="Times New Roman"/>
          <w:sz w:val="28"/>
        </w:rPr>
      </w:pPr>
      <w:r>
        <w:rPr>
          <w:rFonts w:hint="eastAsia" w:ascii="Times New Roman" w:hAnsi="Times New Roman" w:eastAsia="楷体_GB2312" w:cs="Times New Roman"/>
          <w:b/>
          <w:sz w:val="28"/>
        </w:rPr>
        <w:t>所在学校联系人及联系电话：</w:t>
      </w:r>
      <w:r>
        <w:rPr>
          <w:rFonts w:hint="eastAsia" w:ascii="楷体" w:hAnsi="楷体" w:eastAsia="楷体"/>
          <w:b/>
          <w:sz w:val="28"/>
          <w:szCs w:val="28"/>
        </w:rPr>
        <w:t>何柳/028-8540</w:t>
      </w:r>
      <w:r>
        <w:rPr>
          <w:rFonts w:ascii="楷体" w:hAnsi="楷体" w:eastAsia="楷体"/>
          <w:b/>
          <w:sz w:val="28"/>
          <w:szCs w:val="28"/>
        </w:rPr>
        <w:t>5143</w:t>
      </w:r>
    </w:p>
    <w:p w14:paraId="44C8E9DA">
      <w:pPr>
        <w:keepNext w:val="0"/>
        <w:keepLines w:val="0"/>
        <w:pageBreakBefore w:val="0"/>
        <w:kinsoku/>
        <w:wordWrap/>
        <w:overflowPunct/>
        <w:topLinePunct w:val="0"/>
        <w:bidi w:val="0"/>
        <w:jc w:val="center"/>
        <w:textAlignment w:val="auto"/>
        <w:rPr>
          <w:rFonts w:ascii="Times New Roman" w:hAnsi="Times New Roman" w:eastAsia="楷体_GB2312" w:cs="Times New Roman"/>
          <w:sz w:val="28"/>
        </w:rPr>
      </w:pPr>
    </w:p>
    <w:p w14:paraId="5B352EFD">
      <w:pPr>
        <w:keepNext w:val="0"/>
        <w:keepLines w:val="0"/>
        <w:pageBreakBefore w:val="0"/>
        <w:kinsoku/>
        <w:wordWrap/>
        <w:overflowPunct/>
        <w:topLinePunct w:val="0"/>
        <w:bidi w:val="0"/>
        <w:jc w:val="center"/>
        <w:textAlignment w:val="auto"/>
        <w:rPr>
          <w:rFonts w:ascii="Times New Roman" w:hAnsi="Times New Roman" w:eastAsia="楷体_GB2312" w:cs="Times New Roman"/>
          <w:sz w:val="28"/>
        </w:rPr>
      </w:pPr>
    </w:p>
    <w:p w14:paraId="084D4347">
      <w:pPr>
        <w:keepNext w:val="0"/>
        <w:keepLines w:val="0"/>
        <w:pageBreakBefore w:val="0"/>
        <w:kinsoku/>
        <w:wordWrap/>
        <w:overflowPunct/>
        <w:topLinePunct w:val="0"/>
        <w:bidi w:val="0"/>
        <w:jc w:val="center"/>
        <w:textAlignment w:val="auto"/>
        <w:rPr>
          <w:rFonts w:ascii="Times New Roman" w:hAnsi="Times New Roman" w:eastAsia="楷体_GB2312" w:cs="Times New Roman"/>
          <w:sz w:val="28"/>
        </w:rPr>
      </w:pPr>
    </w:p>
    <w:p w14:paraId="4913D307">
      <w:pPr>
        <w:keepNext w:val="0"/>
        <w:keepLines w:val="0"/>
        <w:pageBreakBefore w:val="0"/>
        <w:kinsoku/>
        <w:wordWrap/>
        <w:overflowPunct/>
        <w:topLinePunct w:val="0"/>
        <w:bidi w:val="0"/>
        <w:jc w:val="both"/>
        <w:textAlignment w:val="auto"/>
        <w:rPr>
          <w:rFonts w:ascii="Times New Roman" w:hAnsi="Times New Roman" w:eastAsia="楷体_GB2312" w:cs="Times New Roman"/>
          <w:sz w:val="28"/>
        </w:rPr>
      </w:pPr>
    </w:p>
    <w:p w14:paraId="3BC2BFB4">
      <w:pPr>
        <w:keepNext w:val="0"/>
        <w:keepLines w:val="0"/>
        <w:pageBreakBefore w:val="0"/>
        <w:kinsoku/>
        <w:wordWrap/>
        <w:overflowPunct/>
        <w:topLinePunct w:val="0"/>
        <w:bidi w:val="0"/>
        <w:jc w:val="center"/>
        <w:textAlignment w:val="auto"/>
        <w:rPr>
          <w:rFonts w:ascii="Times New Roman" w:hAnsi="Times New Roman" w:eastAsia="楷体_GB2312" w:cs="Times New Roman"/>
          <w:sz w:val="28"/>
        </w:rPr>
      </w:pPr>
    </w:p>
    <w:p w14:paraId="6203625E">
      <w:pPr>
        <w:keepNext w:val="0"/>
        <w:keepLines w:val="0"/>
        <w:pageBreakBefore w:val="0"/>
        <w:kinsoku/>
        <w:wordWrap/>
        <w:overflowPunct/>
        <w:topLinePunct w:val="0"/>
        <w:bidi w:val="0"/>
        <w:jc w:val="center"/>
        <w:textAlignment w:val="auto"/>
        <w:rPr>
          <w:rFonts w:ascii="Times New Roman" w:hAnsi="Times New Roman" w:eastAsia="楷体_GB2312" w:cs="Times New Roman"/>
          <w:sz w:val="28"/>
        </w:rPr>
      </w:pPr>
      <w:r>
        <w:rPr>
          <w:rFonts w:ascii="Times New Roman" w:hAnsi="Times New Roman" w:eastAsia="楷体_GB2312" w:cs="Times New Roman"/>
          <w:sz w:val="28"/>
        </w:rPr>
        <w:t>202</w:t>
      </w:r>
      <w:r>
        <w:rPr>
          <w:rFonts w:hint="eastAsia" w:ascii="Times New Roman" w:hAnsi="Times New Roman" w:eastAsia="楷体_GB2312" w:cs="Times New Roman"/>
          <w:sz w:val="28"/>
        </w:rPr>
        <w:t>4</w:t>
      </w:r>
      <w:r>
        <w:rPr>
          <w:rFonts w:ascii="Times New Roman" w:hAnsi="Times New Roman" w:eastAsia="楷体_GB2312" w:cs="Times New Roman"/>
          <w:sz w:val="28"/>
        </w:rPr>
        <w:t>年</w:t>
      </w:r>
      <w:r>
        <w:rPr>
          <w:rFonts w:hint="eastAsia" w:ascii="Times New Roman" w:hAnsi="Times New Roman" w:eastAsia="楷体_GB2312" w:cs="Times New Roman"/>
          <w:sz w:val="28"/>
        </w:rPr>
        <w:t>12</w:t>
      </w:r>
      <w:r>
        <w:rPr>
          <w:rFonts w:ascii="Times New Roman" w:hAnsi="Times New Roman" w:eastAsia="楷体_GB2312" w:cs="Times New Roman"/>
          <w:sz w:val="28"/>
        </w:rPr>
        <w:t>月</w:t>
      </w:r>
      <w:r>
        <w:rPr>
          <w:rFonts w:hint="eastAsia" w:ascii="Times New Roman" w:hAnsi="Times New Roman" w:eastAsia="楷体_GB2312" w:cs="Times New Roman"/>
          <w:sz w:val="28"/>
        </w:rPr>
        <w:t>30</w:t>
      </w:r>
      <w:r>
        <w:rPr>
          <w:rFonts w:ascii="Times New Roman" w:hAnsi="Times New Roman" w:eastAsia="楷体_GB2312" w:cs="Times New Roman"/>
          <w:sz w:val="28"/>
        </w:rPr>
        <w:t>日填报</w:t>
      </w:r>
    </w:p>
    <w:p w14:paraId="436CEF59">
      <w:pPr>
        <w:keepNext w:val="0"/>
        <w:keepLines w:val="0"/>
        <w:pageBreakBefore w:val="0"/>
        <w:kinsoku/>
        <w:wordWrap/>
        <w:overflowPunct/>
        <w:topLinePunct w:val="0"/>
        <w:bidi w:val="0"/>
        <w:jc w:val="center"/>
        <w:textAlignment w:val="auto"/>
        <w:rPr>
          <w:rFonts w:hint="eastAsia" w:ascii="仿宋_GB2312" w:eastAsia="仿宋_GB2312" w:cs="仿宋_GB2312"/>
          <w:bCs/>
          <w:sz w:val="28"/>
          <w:szCs w:val="28"/>
        </w:rPr>
      </w:pPr>
      <w:r>
        <w:rPr>
          <w:rFonts w:ascii="仿宋_GB2312" w:eastAsia="仿宋_GB2312"/>
          <w:sz w:val="28"/>
          <w:szCs w:val="28"/>
        </w:rPr>
        <w:br w:type="page"/>
      </w:r>
      <w:r>
        <w:rPr>
          <w:rFonts w:hint="eastAsia" w:ascii="黑体" w:hAnsi="黑体" w:eastAsia="黑体"/>
          <w:sz w:val="32"/>
          <w:szCs w:val="32"/>
        </w:rPr>
        <w:t xml:space="preserve">第一部分  </w:t>
      </w:r>
      <w:r>
        <w:rPr>
          <w:rFonts w:hint="eastAsia" w:ascii="黑体" w:hAnsi="黑体" w:eastAsia="黑体" w:cs="黑体"/>
          <w:bCs/>
          <w:sz w:val="32"/>
          <w:szCs w:val="32"/>
        </w:rPr>
        <w:t>年度报告编写提纲</w:t>
      </w:r>
      <w:r>
        <w:rPr>
          <w:rFonts w:hint="eastAsia" w:ascii="黑体" w:hAnsi="黑体" w:eastAsia="黑体" w:cs="仿宋_GB2312"/>
          <w:bCs/>
          <w:sz w:val="32"/>
          <w:szCs w:val="32"/>
        </w:rPr>
        <w:t>（限</w:t>
      </w:r>
      <w:r>
        <w:rPr>
          <w:rFonts w:hint="eastAsia" w:ascii="黑体" w:hAnsi="黑体" w:eastAsia="黑体"/>
          <w:bCs/>
          <w:sz w:val="32"/>
          <w:szCs w:val="32"/>
        </w:rPr>
        <w:t>3000</w:t>
      </w:r>
      <w:r>
        <w:rPr>
          <w:rFonts w:hint="eastAsia" w:ascii="黑体" w:hAnsi="黑体" w:eastAsia="黑体" w:cs="仿宋_GB2312"/>
          <w:bCs/>
          <w:sz w:val="32"/>
          <w:szCs w:val="32"/>
        </w:rPr>
        <w:t>字以内）</w:t>
      </w:r>
    </w:p>
    <w:p w14:paraId="6C792FBE">
      <w:pPr>
        <w:keepNext w:val="0"/>
        <w:keepLines w:val="0"/>
        <w:pageBreakBefore w:val="0"/>
        <w:kinsoku/>
        <w:wordWrap/>
        <w:overflowPunct/>
        <w:topLinePunct w:val="0"/>
        <w:bidi w:val="0"/>
        <w:ind w:firstLine="560" w:firstLineChars="200"/>
        <w:textAlignment w:val="auto"/>
        <w:rPr>
          <w:rFonts w:hint="eastAsia" w:ascii="黑体" w:hAnsi="黑体" w:eastAsia="黑体" w:cs="仿宋_GB2312"/>
          <w:sz w:val="28"/>
          <w:szCs w:val="28"/>
        </w:rPr>
      </w:pPr>
      <w:r>
        <w:rPr>
          <w:rFonts w:hint="eastAsia" w:ascii="黑体" w:hAnsi="黑体" w:eastAsia="黑体" w:cs="仿宋_GB2312"/>
          <w:sz w:val="28"/>
          <w:szCs w:val="28"/>
        </w:rPr>
        <w:t>一、人才培养工作和成效</w:t>
      </w:r>
    </w:p>
    <w:p w14:paraId="67A086C5">
      <w:pPr>
        <w:keepNext w:val="0"/>
        <w:keepLines w:val="0"/>
        <w:pageBreakBefore w:val="0"/>
        <w:kinsoku/>
        <w:wordWrap/>
        <w:overflowPunct/>
        <w:topLinePunct w:val="0"/>
        <w:bidi w:val="0"/>
        <w:ind w:firstLine="560" w:firstLineChars="200"/>
        <w:textAlignment w:val="auto"/>
        <w:rPr>
          <w:rFonts w:hint="eastAsia" w:ascii="楷体" w:hAnsi="楷体" w:eastAsia="楷体" w:cs="仿宋_GB2312"/>
          <w:sz w:val="28"/>
          <w:szCs w:val="28"/>
        </w:rPr>
      </w:pPr>
      <w:r>
        <w:rPr>
          <w:rFonts w:hint="eastAsia" w:ascii="楷体" w:hAnsi="楷体" w:eastAsia="楷体" w:cs="仿宋_GB2312"/>
          <w:sz w:val="28"/>
          <w:szCs w:val="28"/>
        </w:rPr>
        <w:t>（一）人才培养基本情况</w:t>
      </w:r>
    </w:p>
    <w:p w14:paraId="182EA0D1">
      <w:pPr>
        <w:keepNext w:val="0"/>
        <w:keepLines w:val="0"/>
        <w:pageBreakBefore w:val="0"/>
        <w:kinsoku/>
        <w:wordWrap/>
        <w:overflowPunct/>
        <w:topLinePunct w:val="0"/>
        <w:bidi w:val="0"/>
        <w:spacing w:line="540" w:lineRule="exact"/>
        <w:ind w:firstLine="560" w:firstLineChars="200"/>
        <w:jc w:val="both"/>
        <w:textAlignment w:val="auto"/>
        <w:rPr>
          <w:rFonts w:hint="eastAsia" w:ascii="仿宋" w:hAnsi="仿宋" w:eastAsia="仿宋" w:cs="楷体"/>
          <w:color w:val="000000"/>
          <w:sz w:val="28"/>
          <w:szCs w:val="28"/>
        </w:rPr>
      </w:pPr>
      <w:r>
        <w:rPr>
          <w:rFonts w:hint="eastAsia" w:ascii="仿宋" w:hAnsi="仿宋" w:eastAsia="仿宋" w:cs="楷体"/>
          <w:color w:val="000000"/>
          <w:sz w:val="28"/>
          <w:szCs w:val="28"/>
        </w:rPr>
        <w:t>中心主要面向全校</w:t>
      </w:r>
      <w:r>
        <w:rPr>
          <w:rFonts w:hint="eastAsia" w:ascii="仿宋" w:hAnsi="仿宋" w:eastAsia="仿宋" w:cs="楷体"/>
          <w:color w:val="000000"/>
          <w:sz w:val="28"/>
          <w:szCs w:val="28"/>
          <w:lang w:val="en-US" w:eastAsia="zh-CN"/>
        </w:rPr>
        <w:t>6</w:t>
      </w:r>
      <w:r>
        <w:rPr>
          <w:rFonts w:hint="eastAsia" w:ascii="仿宋" w:hAnsi="仿宋" w:eastAsia="仿宋" w:cs="楷体"/>
          <w:color w:val="000000"/>
          <w:sz w:val="28"/>
          <w:szCs w:val="28"/>
        </w:rPr>
        <w:t>个专业1300余学生开放，共计16万余人学时。2024年度中心实验项目资源共计299个，实验项目268个，开设实验课2</w:t>
      </w:r>
      <w:r>
        <w:rPr>
          <w:rFonts w:hint="eastAsia" w:ascii="仿宋" w:hAnsi="仿宋" w:eastAsia="仿宋" w:cs="楷体"/>
          <w:color w:val="000000"/>
          <w:sz w:val="28"/>
          <w:szCs w:val="28"/>
          <w:lang w:val="en-US" w:eastAsia="zh-CN"/>
        </w:rPr>
        <w:t>2</w:t>
      </w:r>
      <w:r>
        <w:rPr>
          <w:rFonts w:hint="eastAsia" w:ascii="仿宋" w:hAnsi="仿宋" w:eastAsia="仿宋" w:cs="楷体"/>
          <w:color w:val="000000"/>
          <w:sz w:val="28"/>
          <w:szCs w:val="28"/>
        </w:rPr>
        <w:t>门</w:t>
      </w:r>
      <w:r>
        <w:rPr>
          <w:rFonts w:hint="eastAsia" w:ascii="仿宋" w:hAnsi="仿宋" w:eastAsia="仿宋" w:cs="楷体"/>
          <w:color w:val="000000"/>
          <w:sz w:val="28"/>
          <w:szCs w:val="28"/>
          <w:lang w:eastAsia="zh-CN"/>
        </w:rPr>
        <w:t>（</w:t>
      </w:r>
      <w:r>
        <w:rPr>
          <w:rFonts w:hint="eastAsia" w:ascii="仿宋" w:hAnsi="仿宋" w:eastAsia="仿宋" w:cs="楷体"/>
          <w:color w:val="000000"/>
          <w:sz w:val="28"/>
          <w:szCs w:val="28"/>
        </w:rPr>
        <w:t>独立开设</w:t>
      </w:r>
      <w:r>
        <w:rPr>
          <w:rFonts w:hint="eastAsia" w:ascii="仿宋" w:hAnsi="仿宋" w:eastAsia="仿宋" w:cs="楷体"/>
          <w:color w:val="000000"/>
          <w:sz w:val="28"/>
          <w:szCs w:val="28"/>
          <w:lang w:val="en-US" w:eastAsia="zh-CN"/>
        </w:rPr>
        <w:t>10</w:t>
      </w:r>
      <w:r>
        <w:rPr>
          <w:rFonts w:hint="eastAsia" w:ascii="仿宋" w:hAnsi="仿宋" w:eastAsia="仿宋" w:cs="楷体"/>
          <w:color w:val="000000"/>
          <w:sz w:val="28"/>
          <w:szCs w:val="28"/>
        </w:rPr>
        <w:t>门</w:t>
      </w:r>
      <w:r>
        <w:rPr>
          <w:rFonts w:hint="eastAsia" w:ascii="仿宋" w:hAnsi="仿宋" w:eastAsia="仿宋" w:cs="楷体"/>
          <w:color w:val="000000"/>
          <w:sz w:val="28"/>
          <w:szCs w:val="28"/>
          <w:lang w:eastAsia="zh-CN"/>
        </w:rPr>
        <w:t>）</w:t>
      </w:r>
      <w:r>
        <w:rPr>
          <w:rFonts w:hint="eastAsia" w:ascii="仿宋" w:hAnsi="仿宋" w:eastAsia="仿宋" w:cs="楷体"/>
          <w:color w:val="000000"/>
          <w:sz w:val="28"/>
          <w:szCs w:val="28"/>
        </w:rPr>
        <w:t>，开展实验教学工作量160156人学时，开展校外开放实验工作量1120人学时。</w:t>
      </w:r>
    </w:p>
    <w:p w14:paraId="3716E2B0">
      <w:pPr>
        <w:keepNext w:val="0"/>
        <w:keepLines w:val="0"/>
        <w:pageBreakBefore w:val="0"/>
        <w:kinsoku/>
        <w:wordWrap/>
        <w:overflowPunct/>
        <w:topLinePunct w:val="0"/>
        <w:bidi w:val="0"/>
        <w:ind w:firstLine="560" w:firstLineChars="200"/>
        <w:textAlignment w:val="auto"/>
        <w:rPr>
          <w:rFonts w:hint="eastAsia" w:ascii="楷体" w:hAnsi="楷体" w:eastAsia="楷体" w:cs="仿宋_GB2312"/>
          <w:sz w:val="28"/>
          <w:szCs w:val="28"/>
        </w:rPr>
      </w:pPr>
      <w:r>
        <w:rPr>
          <w:rFonts w:hint="eastAsia" w:ascii="楷体" w:hAnsi="楷体" w:eastAsia="楷体" w:cs="仿宋_GB2312"/>
          <w:sz w:val="28"/>
          <w:szCs w:val="28"/>
        </w:rPr>
        <w:t>（二）人才培养成效评价等</w:t>
      </w:r>
    </w:p>
    <w:p w14:paraId="1A03193F">
      <w:pPr>
        <w:keepNext w:val="0"/>
        <w:keepLines w:val="0"/>
        <w:pageBreakBefore w:val="0"/>
        <w:kinsoku/>
        <w:wordWrap/>
        <w:overflowPunct/>
        <w:topLinePunct w:val="0"/>
        <w:bidi w:val="0"/>
        <w:adjustRightInd w:val="0"/>
        <w:snapToGrid w:val="0"/>
        <w:spacing w:line="360" w:lineRule="auto"/>
        <w:ind w:firstLine="560" w:firstLineChars="200"/>
        <w:jc w:val="both"/>
        <w:textAlignment w:val="auto"/>
        <w:rPr>
          <w:rFonts w:hint="eastAsia" w:ascii="楷体" w:hAnsi="楷体" w:eastAsia="楷体" w:cs="仿宋_GB2312"/>
          <w:sz w:val="28"/>
          <w:szCs w:val="28"/>
        </w:rPr>
      </w:pPr>
      <w:r>
        <w:rPr>
          <w:rFonts w:hint="eastAsia" w:ascii="仿宋" w:hAnsi="仿宋" w:eastAsia="仿宋" w:cs="楷体"/>
          <w:color w:val="000000"/>
          <w:sz w:val="28"/>
          <w:szCs w:val="28"/>
        </w:rPr>
        <w:t>本科生新立项大学生创新创业训练计划项目122项，</w:t>
      </w:r>
      <w:r>
        <w:rPr>
          <w:rFonts w:hint="eastAsia" w:ascii="仿宋" w:hAnsi="仿宋" w:eastAsia="仿宋" w:cs="楷体"/>
          <w:color w:val="000000"/>
          <w:sz w:val="28"/>
          <w:szCs w:val="28"/>
          <w:highlight w:val="none"/>
        </w:rPr>
        <w:t>获批专利1</w:t>
      </w:r>
      <w:r>
        <w:rPr>
          <w:rFonts w:hint="eastAsia" w:ascii="仿宋" w:hAnsi="仿宋" w:eastAsia="仿宋" w:cs="楷体"/>
          <w:color w:val="000000"/>
          <w:sz w:val="28"/>
          <w:szCs w:val="28"/>
          <w:highlight w:val="none"/>
          <w:lang w:val="en-US" w:eastAsia="zh-CN"/>
        </w:rPr>
        <w:t>8</w:t>
      </w:r>
      <w:r>
        <w:rPr>
          <w:rFonts w:hint="eastAsia" w:ascii="仿宋" w:hAnsi="仿宋" w:eastAsia="仿宋" w:cs="楷体"/>
          <w:color w:val="000000"/>
          <w:sz w:val="28"/>
          <w:szCs w:val="28"/>
          <w:highlight w:val="none"/>
        </w:rPr>
        <w:t>项，发表文章</w:t>
      </w:r>
      <w:r>
        <w:rPr>
          <w:rFonts w:hint="eastAsia" w:ascii="仿宋" w:hAnsi="仿宋" w:eastAsia="仿宋" w:cs="楷体"/>
          <w:color w:val="000000"/>
          <w:sz w:val="28"/>
          <w:szCs w:val="28"/>
          <w:highlight w:val="none"/>
          <w:lang w:val="en-US" w:eastAsia="zh-CN"/>
        </w:rPr>
        <w:t>103</w:t>
      </w:r>
      <w:r>
        <w:rPr>
          <w:rFonts w:hint="eastAsia" w:ascii="仿宋" w:hAnsi="仿宋" w:eastAsia="仿宋" w:cs="楷体"/>
          <w:color w:val="000000"/>
          <w:sz w:val="28"/>
          <w:szCs w:val="28"/>
          <w:highlight w:val="none"/>
        </w:rPr>
        <w:t>篇，获省部级及以上竞赛奖励</w:t>
      </w:r>
      <w:r>
        <w:rPr>
          <w:rFonts w:hint="eastAsia" w:ascii="仿宋" w:hAnsi="仿宋" w:eastAsia="仿宋" w:cs="楷体"/>
          <w:color w:val="000000"/>
          <w:sz w:val="28"/>
          <w:szCs w:val="28"/>
          <w:highlight w:val="none"/>
          <w:lang w:val="en-US" w:eastAsia="zh-CN"/>
        </w:rPr>
        <w:t>98人次</w:t>
      </w:r>
      <w:r>
        <w:rPr>
          <w:rFonts w:hint="eastAsia" w:ascii="仿宋" w:hAnsi="仿宋" w:eastAsia="仿宋" w:cs="楷体"/>
          <w:color w:val="000000"/>
          <w:sz w:val="28"/>
          <w:szCs w:val="28"/>
          <w:highlight w:val="none"/>
        </w:rPr>
        <w:t>。</w:t>
      </w:r>
    </w:p>
    <w:p w14:paraId="284EF2E6">
      <w:pPr>
        <w:keepNext w:val="0"/>
        <w:keepLines w:val="0"/>
        <w:pageBreakBefore w:val="0"/>
        <w:kinsoku/>
        <w:wordWrap/>
        <w:overflowPunct/>
        <w:topLinePunct w:val="0"/>
        <w:bidi w:val="0"/>
        <w:ind w:firstLine="560" w:firstLineChars="200"/>
        <w:textAlignment w:val="auto"/>
        <w:rPr>
          <w:rFonts w:hint="eastAsia" w:ascii="黑体" w:hAnsi="黑体" w:eastAsia="黑体" w:cs="仿宋_GB2312"/>
          <w:sz w:val="28"/>
          <w:szCs w:val="28"/>
        </w:rPr>
      </w:pPr>
      <w:r>
        <w:rPr>
          <w:rFonts w:hint="eastAsia" w:ascii="黑体" w:hAnsi="黑体" w:eastAsia="黑体" w:cs="仿宋_GB2312"/>
          <w:sz w:val="28"/>
          <w:szCs w:val="28"/>
        </w:rPr>
        <w:t>二、人才队伍建设</w:t>
      </w:r>
    </w:p>
    <w:p w14:paraId="2DBB192E">
      <w:pPr>
        <w:keepNext w:val="0"/>
        <w:keepLines w:val="0"/>
        <w:pageBreakBefore w:val="0"/>
        <w:kinsoku/>
        <w:wordWrap/>
        <w:overflowPunct/>
        <w:topLinePunct w:val="0"/>
        <w:bidi w:val="0"/>
        <w:ind w:firstLine="560" w:firstLineChars="200"/>
        <w:textAlignment w:val="auto"/>
        <w:rPr>
          <w:rFonts w:hint="eastAsia" w:ascii="楷体" w:hAnsi="楷体" w:eastAsia="楷体" w:cs="仿宋_GB2312"/>
          <w:sz w:val="28"/>
          <w:szCs w:val="28"/>
        </w:rPr>
      </w:pPr>
      <w:r>
        <w:rPr>
          <w:rFonts w:hint="eastAsia" w:ascii="楷体" w:hAnsi="楷体" w:eastAsia="楷体" w:cs="仿宋_GB2312"/>
          <w:sz w:val="28"/>
          <w:szCs w:val="28"/>
        </w:rPr>
        <w:t>（一）队伍建设基本情况</w:t>
      </w:r>
    </w:p>
    <w:p w14:paraId="5088D393">
      <w:pPr>
        <w:keepNext w:val="0"/>
        <w:keepLines w:val="0"/>
        <w:pageBreakBefore w:val="0"/>
        <w:kinsoku/>
        <w:wordWrap/>
        <w:overflowPunct/>
        <w:topLinePunct w:val="0"/>
        <w:bidi w:val="0"/>
        <w:adjustRightInd w:val="0"/>
        <w:snapToGrid w:val="0"/>
        <w:spacing w:line="360" w:lineRule="auto"/>
        <w:ind w:firstLine="560" w:firstLineChars="200"/>
        <w:textAlignment w:val="auto"/>
        <w:rPr>
          <w:rFonts w:hint="eastAsia" w:ascii="楷体" w:hAnsi="楷体" w:eastAsia="楷体" w:cs="仿宋_GB2312"/>
          <w:sz w:val="28"/>
          <w:szCs w:val="28"/>
        </w:rPr>
      </w:pPr>
      <w:r>
        <w:rPr>
          <w:rFonts w:hint="eastAsia" w:ascii="仿宋" w:hAnsi="仿宋" w:eastAsia="仿宋" w:cs="楷体"/>
          <w:color w:val="000000"/>
          <w:sz w:val="28"/>
          <w:szCs w:val="28"/>
        </w:rPr>
        <w:t>中心本年度固定人员145人，其中正高52人，副高43人，具有博士学位者121人。</w:t>
      </w:r>
      <w:r>
        <w:rPr>
          <w:rFonts w:hint="eastAsia" w:ascii="仿宋" w:hAnsi="仿宋" w:eastAsia="仿宋" w:cs="楷体"/>
          <w:color w:val="000000"/>
          <w:sz w:val="28"/>
          <w:szCs w:val="28"/>
          <w:lang w:val="en-US" w:eastAsia="zh-CN"/>
        </w:rPr>
        <w:t>流动人员</w:t>
      </w:r>
      <w:r>
        <w:rPr>
          <w:rFonts w:hint="eastAsia" w:ascii="仿宋" w:hAnsi="仿宋" w:eastAsia="仿宋" w:cs="楷体"/>
          <w:color w:val="000000"/>
          <w:sz w:val="28"/>
          <w:szCs w:val="28"/>
          <w:highlight w:val="none"/>
          <w:lang w:val="en-US" w:eastAsia="zh-CN"/>
        </w:rPr>
        <w:t>8</w:t>
      </w:r>
      <w:r>
        <w:rPr>
          <w:rFonts w:hint="eastAsia" w:ascii="仿宋" w:hAnsi="仿宋" w:eastAsia="仿宋" w:cs="楷体"/>
          <w:color w:val="000000"/>
          <w:sz w:val="28"/>
          <w:szCs w:val="28"/>
          <w:lang w:val="en-US" w:eastAsia="zh-CN"/>
        </w:rPr>
        <w:t>人</w:t>
      </w:r>
      <w:r>
        <w:rPr>
          <w:rFonts w:hint="eastAsia" w:ascii="仿宋" w:hAnsi="仿宋" w:eastAsia="仿宋" w:cs="楷体"/>
          <w:color w:val="000000"/>
          <w:sz w:val="28"/>
          <w:szCs w:val="28"/>
        </w:rPr>
        <w:t>。</w:t>
      </w:r>
    </w:p>
    <w:p w14:paraId="22FAD2D7">
      <w:pPr>
        <w:keepNext w:val="0"/>
        <w:keepLines w:val="0"/>
        <w:pageBreakBefore w:val="0"/>
        <w:kinsoku/>
        <w:wordWrap/>
        <w:overflowPunct/>
        <w:topLinePunct w:val="0"/>
        <w:bidi w:val="0"/>
        <w:ind w:firstLine="560" w:firstLineChars="200"/>
        <w:textAlignment w:val="auto"/>
        <w:rPr>
          <w:rFonts w:hint="eastAsia" w:ascii="楷体" w:hAnsi="楷体" w:eastAsia="楷体" w:cs="仿宋_GB2312"/>
          <w:sz w:val="28"/>
          <w:szCs w:val="28"/>
        </w:rPr>
      </w:pPr>
      <w:r>
        <w:rPr>
          <w:rFonts w:hint="eastAsia" w:ascii="楷体" w:hAnsi="楷体" w:eastAsia="楷体" w:cs="仿宋_GB2312"/>
          <w:sz w:val="28"/>
          <w:szCs w:val="28"/>
        </w:rPr>
        <w:t>（二）队伍建设的举措与取得的成绩等</w:t>
      </w:r>
    </w:p>
    <w:p w14:paraId="371EE13E">
      <w:pPr>
        <w:keepNext w:val="0"/>
        <w:keepLines w:val="0"/>
        <w:pageBreakBefore w:val="0"/>
        <w:kinsoku/>
        <w:wordWrap/>
        <w:overflowPunct/>
        <w:topLinePunct w:val="0"/>
        <w:bidi w:val="0"/>
        <w:adjustRightInd w:val="0"/>
        <w:snapToGrid w:val="0"/>
        <w:spacing w:line="360" w:lineRule="auto"/>
        <w:ind w:left="120" w:leftChars="50" w:firstLine="422" w:firstLineChars="150"/>
        <w:textAlignment w:val="auto"/>
        <w:rPr>
          <w:rFonts w:hint="eastAsia" w:ascii="楷体" w:hAnsi="楷体" w:eastAsia="楷体" w:cs="仿宋_GB2312"/>
          <w:b/>
          <w:color w:val="000000"/>
          <w:sz w:val="28"/>
          <w:szCs w:val="28"/>
        </w:rPr>
      </w:pPr>
      <w:bookmarkStart w:id="0" w:name="OLE_LINK104"/>
      <w:r>
        <w:rPr>
          <w:rFonts w:ascii="楷体" w:hAnsi="楷体" w:eastAsia="楷体" w:cs="仿宋_GB2312"/>
          <w:b/>
          <w:color w:val="000000"/>
          <w:sz w:val="28"/>
          <w:szCs w:val="28"/>
        </w:rPr>
        <w:t>1.</w:t>
      </w:r>
      <w:r>
        <w:rPr>
          <w:rFonts w:hint="eastAsia" w:ascii="楷体" w:hAnsi="楷体" w:eastAsia="楷体" w:cs="仿宋_GB2312"/>
          <w:b/>
          <w:color w:val="000000"/>
          <w:sz w:val="28"/>
          <w:szCs w:val="28"/>
        </w:rPr>
        <w:t>队伍建设举措</w:t>
      </w:r>
    </w:p>
    <w:bookmarkEnd w:id="0"/>
    <w:p w14:paraId="1BEDC7E1">
      <w:pPr>
        <w:keepNext w:val="0"/>
        <w:keepLines w:val="0"/>
        <w:pageBreakBefore w:val="0"/>
        <w:kinsoku/>
        <w:wordWrap/>
        <w:overflowPunct/>
        <w:topLinePunct w:val="0"/>
        <w:bidi w:val="0"/>
        <w:adjustRightInd w:val="0"/>
        <w:snapToGrid w:val="0"/>
        <w:spacing w:line="360" w:lineRule="auto"/>
        <w:ind w:firstLine="560" w:firstLineChars="200"/>
        <w:textAlignment w:val="auto"/>
        <w:rPr>
          <w:rFonts w:hint="default" w:ascii="仿宋" w:hAnsi="仿宋" w:eastAsia="仿宋" w:cs="楷体"/>
          <w:color w:val="000000"/>
          <w:sz w:val="28"/>
          <w:szCs w:val="28"/>
          <w:lang w:val="en-US" w:eastAsia="zh-CN"/>
        </w:rPr>
      </w:pPr>
      <w:bookmarkStart w:id="1" w:name="_Hlk122530479"/>
      <w:r>
        <w:rPr>
          <w:rFonts w:hint="eastAsia" w:ascii="仿宋" w:hAnsi="仿宋" w:eastAsia="仿宋" w:cs="楷体"/>
          <w:color w:val="000000"/>
          <w:sz w:val="28"/>
          <w:szCs w:val="28"/>
          <w:lang w:val="en-US" w:eastAsia="zh-CN"/>
        </w:rPr>
        <w:t>中心积极开展华西口腔师资队伍高质量发展系列活动。全年组织教师参加</w:t>
      </w:r>
      <w:r>
        <w:rPr>
          <w:rFonts w:hint="default" w:ascii="仿宋" w:hAnsi="仿宋" w:eastAsia="仿宋" w:cs="楷体"/>
          <w:color w:val="000000"/>
          <w:sz w:val="28"/>
          <w:szCs w:val="28"/>
          <w:lang w:val="en-US" w:eastAsia="zh-CN"/>
        </w:rPr>
        <w:t>“大川观澜”青年教师职业成长工作坊启动会100</w:t>
      </w:r>
      <w:r>
        <w:rPr>
          <w:rFonts w:hint="eastAsia" w:ascii="仿宋" w:hAnsi="仿宋" w:eastAsia="仿宋" w:cs="楷体"/>
          <w:color w:val="000000"/>
          <w:sz w:val="28"/>
          <w:szCs w:val="28"/>
          <w:lang w:val="en-US" w:eastAsia="zh-CN"/>
        </w:rPr>
        <w:t>人次</w:t>
      </w:r>
      <w:r>
        <w:rPr>
          <w:rFonts w:hint="default" w:ascii="仿宋" w:hAnsi="仿宋" w:eastAsia="仿宋" w:cs="楷体"/>
          <w:color w:val="000000"/>
          <w:sz w:val="28"/>
          <w:szCs w:val="28"/>
          <w:lang w:val="en-US" w:eastAsia="zh-CN"/>
        </w:rPr>
        <w:t>；学院师德集中学习教育推进会200</w:t>
      </w:r>
      <w:r>
        <w:rPr>
          <w:rFonts w:hint="eastAsia" w:ascii="仿宋" w:hAnsi="仿宋" w:eastAsia="仿宋" w:cs="楷体"/>
          <w:color w:val="000000"/>
          <w:sz w:val="28"/>
          <w:szCs w:val="28"/>
          <w:lang w:val="en-US" w:eastAsia="zh-CN"/>
        </w:rPr>
        <w:t>人次</w:t>
      </w:r>
      <w:r>
        <w:rPr>
          <w:rFonts w:hint="default" w:ascii="仿宋" w:hAnsi="仿宋" w:eastAsia="仿宋" w:cs="楷体"/>
          <w:color w:val="000000"/>
          <w:sz w:val="28"/>
          <w:szCs w:val="28"/>
          <w:lang w:val="en-US" w:eastAsia="zh-CN"/>
        </w:rPr>
        <w:t>；2024年师德师风建设专题培训200</w:t>
      </w:r>
      <w:r>
        <w:rPr>
          <w:rFonts w:hint="eastAsia" w:ascii="仿宋" w:hAnsi="仿宋" w:eastAsia="仿宋" w:cs="楷体"/>
          <w:color w:val="000000"/>
          <w:sz w:val="28"/>
          <w:szCs w:val="28"/>
          <w:lang w:val="en-US" w:eastAsia="zh-CN"/>
        </w:rPr>
        <w:t>人次</w:t>
      </w:r>
      <w:r>
        <w:rPr>
          <w:rFonts w:hint="default" w:ascii="仿宋" w:hAnsi="仿宋" w:eastAsia="仿宋" w:cs="楷体"/>
          <w:color w:val="000000"/>
          <w:sz w:val="28"/>
          <w:szCs w:val="28"/>
          <w:lang w:val="en-US" w:eastAsia="zh-CN"/>
        </w:rPr>
        <w:t>；新职工培训会50</w:t>
      </w:r>
      <w:r>
        <w:rPr>
          <w:rFonts w:hint="eastAsia" w:ascii="仿宋" w:hAnsi="仿宋" w:eastAsia="仿宋" w:cs="楷体"/>
          <w:color w:val="000000"/>
          <w:sz w:val="28"/>
          <w:szCs w:val="28"/>
          <w:lang w:val="en-US" w:eastAsia="zh-CN"/>
        </w:rPr>
        <w:t>人次</w:t>
      </w:r>
      <w:r>
        <w:rPr>
          <w:rFonts w:hint="default" w:ascii="仿宋" w:hAnsi="仿宋" w:eastAsia="仿宋" w:cs="楷体"/>
          <w:color w:val="000000"/>
          <w:sz w:val="28"/>
          <w:szCs w:val="28"/>
          <w:lang w:val="en-US" w:eastAsia="zh-CN"/>
        </w:rPr>
        <w:t>；新时代高校管理理念及行政能力提升培训班6</w:t>
      </w:r>
      <w:r>
        <w:rPr>
          <w:rFonts w:hint="eastAsia" w:ascii="仿宋" w:hAnsi="仿宋" w:eastAsia="仿宋" w:cs="楷体"/>
          <w:color w:val="000000"/>
          <w:sz w:val="28"/>
          <w:szCs w:val="28"/>
          <w:lang w:val="en-US" w:eastAsia="zh-CN"/>
        </w:rPr>
        <w:t>人次</w:t>
      </w:r>
      <w:r>
        <w:rPr>
          <w:rFonts w:hint="default" w:ascii="仿宋" w:hAnsi="仿宋" w:eastAsia="仿宋" w:cs="楷体"/>
          <w:color w:val="000000"/>
          <w:sz w:val="28"/>
          <w:szCs w:val="28"/>
          <w:lang w:val="en-US" w:eastAsia="zh-CN"/>
        </w:rPr>
        <w:t>；四川大学教师教学能力提升培训2</w:t>
      </w:r>
      <w:r>
        <w:rPr>
          <w:rFonts w:hint="eastAsia" w:ascii="仿宋" w:hAnsi="仿宋" w:eastAsia="仿宋" w:cs="楷体"/>
          <w:color w:val="000000"/>
          <w:sz w:val="28"/>
          <w:szCs w:val="28"/>
          <w:lang w:val="en-US" w:eastAsia="zh-CN"/>
        </w:rPr>
        <w:t>人次</w:t>
      </w:r>
      <w:r>
        <w:rPr>
          <w:rFonts w:hint="default" w:ascii="仿宋" w:hAnsi="仿宋" w:eastAsia="仿宋" w:cs="楷体"/>
          <w:color w:val="000000"/>
          <w:sz w:val="28"/>
          <w:szCs w:val="28"/>
          <w:lang w:val="en-US" w:eastAsia="zh-CN"/>
        </w:rPr>
        <w:t>；高校新入职教师职业技能培训32</w:t>
      </w:r>
      <w:r>
        <w:rPr>
          <w:rFonts w:hint="eastAsia" w:ascii="仿宋" w:hAnsi="仿宋" w:eastAsia="仿宋" w:cs="楷体"/>
          <w:color w:val="000000"/>
          <w:sz w:val="28"/>
          <w:szCs w:val="28"/>
          <w:lang w:val="en-US" w:eastAsia="zh-CN"/>
        </w:rPr>
        <w:t>人次</w:t>
      </w:r>
      <w:r>
        <w:rPr>
          <w:rFonts w:hint="default" w:ascii="仿宋" w:hAnsi="仿宋" w:eastAsia="仿宋" w:cs="楷体"/>
          <w:color w:val="000000"/>
          <w:sz w:val="28"/>
          <w:szCs w:val="28"/>
          <w:lang w:val="en-US" w:eastAsia="zh-CN"/>
        </w:rPr>
        <w:t>。</w:t>
      </w:r>
    </w:p>
    <w:bookmarkEnd w:id="1"/>
    <w:p w14:paraId="270D26D9">
      <w:pPr>
        <w:keepNext w:val="0"/>
        <w:keepLines w:val="0"/>
        <w:pageBreakBefore w:val="0"/>
        <w:kinsoku/>
        <w:wordWrap/>
        <w:overflowPunct/>
        <w:topLinePunct w:val="0"/>
        <w:bidi w:val="0"/>
        <w:adjustRightInd w:val="0"/>
        <w:snapToGrid w:val="0"/>
        <w:spacing w:line="360" w:lineRule="auto"/>
        <w:ind w:left="120" w:leftChars="50" w:firstLine="422" w:firstLineChars="150"/>
        <w:textAlignment w:val="auto"/>
        <w:rPr>
          <w:rFonts w:hint="eastAsia" w:ascii="楷体" w:hAnsi="楷体" w:eastAsia="楷体" w:cs="仿宋_GB2312"/>
          <w:b/>
          <w:color w:val="000000"/>
          <w:sz w:val="28"/>
          <w:szCs w:val="28"/>
          <w:lang w:val="en-US" w:eastAsia="zh-CN"/>
        </w:rPr>
      </w:pPr>
      <w:r>
        <w:rPr>
          <w:rFonts w:hint="eastAsia" w:ascii="楷体" w:hAnsi="楷体" w:eastAsia="楷体" w:cs="仿宋_GB2312"/>
          <w:b/>
          <w:color w:val="000000"/>
          <w:sz w:val="28"/>
          <w:szCs w:val="28"/>
        </w:rPr>
        <w:t>2.队伍建设成效</w:t>
      </w:r>
      <w:r>
        <w:rPr>
          <w:rFonts w:hint="eastAsia" w:ascii="楷体" w:hAnsi="楷体" w:eastAsia="楷体" w:cs="仿宋_GB2312"/>
          <w:b/>
          <w:color w:val="000000"/>
          <w:sz w:val="28"/>
          <w:szCs w:val="28"/>
          <w:lang w:val="en-US" w:eastAsia="zh-CN"/>
        </w:rPr>
        <w:t>显著</w:t>
      </w:r>
    </w:p>
    <w:p w14:paraId="3C8CA69E">
      <w:pPr>
        <w:keepNext w:val="0"/>
        <w:keepLines w:val="0"/>
        <w:pageBreakBefore w:val="0"/>
        <w:kinsoku/>
        <w:wordWrap/>
        <w:overflowPunct/>
        <w:topLinePunct w:val="0"/>
        <w:bidi w:val="0"/>
        <w:adjustRightInd w:val="0"/>
        <w:snapToGrid w:val="0"/>
        <w:spacing w:line="360" w:lineRule="auto"/>
        <w:ind w:firstLine="560" w:firstLineChars="200"/>
        <w:jc w:val="both"/>
        <w:textAlignment w:val="auto"/>
        <w:rPr>
          <w:rFonts w:hint="eastAsia" w:ascii="仿宋" w:hAnsi="仿宋" w:eastAsia="仿宋" w:cs="楷体"/>
          <w:color w:val="000000"/>
          <w:sz w:val="28"/>
          <w:szCs w:val="28"/>
        </w:rPr>
      </w:pPr>
      <w:r>
        <w:rPr>
          <w:rFonts w:hint="eastAsia" w:ascii="仿宋" w:hAnsi="仿宋" w:eastAsia="仿宋" w:cs="楷体"/>
          <w:color w:val="000000"/>
          <w:sz w:val="28"/>
          <w:szCs w:val="28"/>
        </w:rPr>
        <w:t>本年度中心教师队伍获多项校级以上表彰</w:t>
      </w:r>
      <w:bookmarkStart w:id="2" w:name="_Hlk122530699"/>
      <w:r>
        <w:rPr>
          <w:rFonts w:hint="eastAsia" w:ascii="仿宋" w:hAnsi="仿宋" w:eastAsia="仿宋" w:cs="楷体"/>
          <w:color w:val="000000"/>
          <w:sz w:val="28"/>
          <w:szCs w:val="28"/>
        </w:rPr>
        <w:t>奖励，包括：</w:t>
      </w:r>
    </w:p>
    <w:p w14:paraId="44FF802F">
      <w:pPr>
        <w:keepNext w:val="0"/>
        <w:keepLines w:val="0"/>
        <w:pageBreakBefore w:val="0"/>
        <w:kinsoku/>
        <w:wordWrap/>
        <w:overflowPunct/>
        <w:topLinePunct w:val="0"/>
        <w:bidi w:val="0"/>
        <w:adjustRightInd w:val="0"/>
        <w:snapToGrid w:val="0"/>
        <w:spacing w:line="360" w:lineRule="auto"/>
        <w:ind w:firstLine="560" w:firstLineChars="200"/>
        <w:jc w:val="both"/>
        <w:textAlignment w:val="auto"/>
        <w:rPr>
          <w:rFonts w:hint="eastAsia" w:ascii="仿宋" w:hAnsi="仿宋" w:eastAsia="仿宋" w:cs="楷体"/>
          <w:color w:val="000000"/>
          <w:sz w:val="28"/>
          <w:szCs w:val="28"/>
        </w:rPr>
      </w:pPr>
      <w:r>
        <w:rPr>
          <w:rFonts w:hint="eastAsia" w:ascii="仿宋" w:hAnsi="仿宋" w:eastAsia="仿宋" w:cs="楷体"/>
          <w:color w:val="000000"/>
          <w:sz w:val="28"/>
          <w:szCs w:val="28"/>
        </w:rPr>
        <w:t>（1）全国五一劳动奖章；</w:t>
      </w:r>
    </w:p>
    <w:p w14:paraId="6C45E996">
      <w:pPr>
        <w:keepNext w:val="0"/>
        <w:keepLines w:val="0"/>
        <w:pageBreakBefore w:val="0"/>
        <w:numPr>
          <w:ilvl w:val="0"/>
          <w:numId w:val="1"/>
        </w:numPr>
        <w:kinsoku/>
        <w:wordWrap/>
        <w:overflowPunct/>
        <w:topLinePunct w:val="0"/>
        <w:bidi w:val="0"/>
        <w:adjustRightInd w:val="0"/>
        <w:snapToGrid w:val="0"/>
        <w:spacing w:line="360" w:lineRule="auto"/>
        <w:ind w:firstLine="560" w:firstLineChars="200"/>
        <w:jc w:val="both"/>
        <w:textAlignment w:val="auto"/>
        <w:rPr>
          <w:rFonts w:hint="eastAsia" w:ascii="仿宋" w:hAnsi="仿宋" w:eastAsia="仿宋" w:cs="楷体"/>
          <w:color w:val="000000"/>
          <w:sz w:val="28"/>
          <w:szCs w:val="28"/>
        </w:rPr>
      </w:pPr>
      <w:r>
        <w:rPr>
          <w:rFonts w:hint="eastAsia" w:ascii="仿宋" w:hAnsi="仿宋" w:eastAsia="仿宋" w:cs="楷体"/>
          <w:color w:val="000000"/>
          <w:sz w:val="28"/>
          <w:szCs w:val="28"/>
        </w:rPr>
        <w:t>全国仿真创新应用大赛一等奖</w:t>
      </w:r>
      <w:r>
        <w:rPr>
          <w:rFonts w:ascii="仿宋" w:hAnsi="仿宋" w:eastAsia="仿宋" w:cs="楷体"/>
          <w:color w:val="000000"/>
          <w:sz w:val="28"/>
          <w:szCs w:val="28"/>
        </w:rPr>
        <w:t>2项，三等奖</w:t>
      </w:r>
      <w:r>
        <w:rPr>
          <w:rFonts w:hint="eastAsia" w:ascii="仿宋" w:hAnsi="仿宋" w:eastAsia="仿宋" w:cs="楷体"/>
          <w:color w:val="000000"/>
          <w:sz w:val="28"/>
          <w:szCs w:val="28"/>
        </w:rPr>
        <w:t>1项；</w:t>
      </w:r>
    </w:p>
    <w:p w14:paraId="331FD329">
      <w:pPr>
        <w:keepNext w:val="0"/>
        <w:keepLines w:val="0"/>
        <w:pageBreakBefore w:val="0"/>
        <w:numPr>
          <w:ilvl w:val="0"/>
          <w:numId w:val="1"/>
        </w:numPr>
        <w:kinsoku/>
        <w:wordWrap/>
        <w:overflowPunct/>
        <w:topLinePunct w:val="0"/>
        <w:bidi w:val="0"/>
        <w:adjustRightInd w:val="0"/>
        <w:snapToGrid w:val="0"/>
        <w:spacing w:line="360" w:lineRule="auto"/>
        <w:ind w:firstLine="560" w:firstLineChars="200"/>
        <w:jc w:val="both"/>
        <w:textAlignment w:val="auto"/>
        <w:rPr>
          <w:rFonts w:hint="eastAsia" w:ascii="仿宋" w:hAnsi="仿宋" w:eastAsia="仿宋" w:cs="楷体"/>
          <w:color w:val="000000"/>
          <w:sz w:val="28"/>
          <w:szCs w:val="28"/>
        </w:rPr>
      </w:pPr>
      <w:r>
        <w:rPr>
          <w:rFonts w:hint="eastAsia" w:ascii="仿宋" w:hAnsi="仿宋" w:eastAsia="仿宋" w:cs="楷体"/>
          <w:color w:val="000000"/>
          <w:sz w:val="28"/>
          <w:szCs w:val="28"/>
        </w:rPr>
        <w:t>中华口腔医学会授课技能展示</w:t>
      </w:r>
      <w:r>
        <w:rPr>
          <w:rFonts w:hint="eastAsia" w:ascii="仿宋" w:hAnsi="仿宋" w:eastAsia="仿宋" w:cs="楷体"/>
          <w:color w:val="000000"/>
          <w:sz w:val="28"/>
          <w:szCs w:val="28"/>
          <w:lang w:val="en-US" w:eastAsia="zh-CN"/>
        </w:rPr>
        <w:t>一等奖</w:t>
      </w:r>
      <w:r>
        <w:rPr>
          <w:rFonts w:hint="eastAsia" w:ascii="仿宋" w:hAnsi="仿宋" w:eastAsia="仿宋" w:cs="楷体"/>
          <w:color w:val="000000"/>
          <w:sz w:val="28"/>
          <w:szCs w:val="28"/>
        </w:rPr>
        <w:t>；临床教学案例展示</w:t>
      </w:r>
      <w:r>
        <w:rPr>
          <w:rFonts w:hint="eastAsia" w:ascii="仿宋" w:hAnsi="仿宋" w:eastAsia="仿宋" w:cs="楷体"/>
          <w:color w:val="000000"/>
          <w:sz w:val="28"/>
          <w:szCs w:val="28"/>
          <w:lang w:val="en-US" w:eastAsia="zh-CN"/>
        </w:rPr>
        <w:t>一等奖</w:t>
      </w:r>
      <w:r>
        <w:rPr>
          <w:rFonts w:hint="eastAsia" w:ascii="仿宋" w:hAnsi="仿宋" w:eastAsia="仿宋" w:cs="楷体"/>
          <w:color w:val="000000"/>
          <w:sz w:val="28"/>
          <w:szCs w:val="28"/>
        </w:rPr>
        <w:t>；</w:t>
      </w:r>
    </w:p>
    <w:p w14:paraId="04260F5D">
      <w:pPr>
        <w:keepNext w:val="0"/>
        <w:keepLines w:val="0"/>
        <w:pageBreakBefore w:val="0"/>
        <w:numPr>
          <w:ilvl w:val="0"/>
          <w:numId w:val="1"/>
        </w:numPr>
        <w:kinsoku/>
        <w:wordWrap/>
        <w:overflowPunct/>
        <w:topLinePunct w:val="0"/>
        <w:bidi w:val="0"/>
        <w:adjustRightInd w:val="0"/>
        <w:snapToGrid w:val="0"/>
        <w:spacing w:line="360" w:lineRule="auto"/>
        <w:ind w:firstLine="560" w:firstLineChars="200"/>
        <w:jc w:val="both"/>
        <w:textAlignment w:val="auto"/>
        <w:rPr>
          <w:rFonts w:hint="eastAsia" w:ascii="仿宋" w:hAnsi="仿宋" w:eastAsia="仿宋" w:cs="楷体"/>
          <w:color w:val="000000"/>
          <w:sz w:val="28"/>
          <w:szCs w:val="28"/>
        </w:rPr>
      </w:pPr>
      <w:r>
        <w:rPr>
          <w:rFonts w:ascii="仿宋" w:hAnsi="仿宋" w:eastAsia="仿宋" w:cs="楷体"/>
          <w:color w:val="000000"/>
          <w:sz w:val="28"/>
          <w:szCs w:val="28"/>
        </w:rPr>
        <w:t>2024年中国医师协会住院医师规范化培训指导医师教学能力竞赛操作性技能教学赛道一等奖</w:t>
      </w:r>
      <w:r>
        <w:rPr>
          <w:rFonts w:hint="eastAsia" w:ascii="仿宋" w:hAnsi="仿宋" w:eastAsia="仿宋" w:cs="楷体"/>
          <w:color w:val="000000"/>
          <w:sz w:val="28"/>
          <w:szCs w:val="28"/>
        </w:rPr>
        <w:t>；</w:t>
      </w:r>
    </w:p>
    <w:p w14:paraId="69E612F9">
      <w:pPr>
        <w:keepNext w:val="0"/>
        <w:keepLines w:val="0"/>
        <w:pageBreakBefore w:val="0"/>
        <w:widowControl/>
        <w:numPr>
          <w:ilvl w:val="0"/>
          <w:numId w:val="1"/>
        </w:numPr>
        <w:kinsoku/>
        <w:wordWrap/>
        <w:overflowPunct/>
        <w:topLinePunct w:val="0"/>
        <w:autoSpaceDE/>
        <w:autoSpaceDN/>
        <w:bidi w:val="0"/>
        <w:adjustRightInd w:val="0"/>
        <w:snapToGrid w:val="0"/>
        <w:spacing w:line="360" w:lineRule="auto"/>
        <w:ind w:firstLine="560" w:firstLineChars="200"/>
        <w:jc w:val="both"/>
        <w:textAlignment w:val="auto"/>
        <w:rPr>
          <w:rFonts w:ascii="仿宋" w:hAnsi="仿宋" w:eastAsia="仿宋" w:cs="楷体"/>
          <w:color w:val="000000"/>
          <w:sz w:val="28"/>
          <w:szCs w:val="28"/>
        </w:rPr>
      </w:pPr>
      <w:r>
        <w:rPr>
          <w:rFonts w:hint="eastAsia" w:ascii="仿宋" w:hAnsi="仿宋" w:eastAsia="仿宋" w:cs="楷体"/>
          <w:color w:val="000000"/>
          <w:sz w:val="28"/>
          <w:szCs w:val="28"/>
        </w:rPr>
        <w:t>2024年四川省教师信息素养提升实践活动-微课一等奖</w:t>
      </w:r>
      <w:bookmarkEnd w:id="2"/>
      <w:r>
        <w:rPr>
          <w:rFonts w:hint="eastAsia" w:ascii="仿宋" w:hAnsi="仿宋" w:eastAsia="仿宋" w:cs="楷体"/>
          <w:color w:val="000000"/>
          <w:sz w:val="28"/>
          <w:szCs w:val="28"/>
        </w:rPr>
        <w:t>。</w:t>
      </w:r>
    </w:p>
    <w:p w14:paraId="397C304D">
      <w:pPr>
        <w:pStyle w:val="31"/>
        <w:keepNext w:val="0"/>
        <w:keepLines w:val="0"/>
        <w:pageBreakBefore w:val="0"/>
        <w:widowControl w:val="0"/>
        <w:numPr>
          <w:ilvl w:val="0"/>
          <w:numId w:val="1"/>
        </w:numPr>
        <w:kinsoku/>
        <w:wordWrap/>
        <w:overflowPunct/>
        <w:topLinePunct w:val="0"/>
        <w:autoSpaceDE/>
        <w:autoSpaceDN/>
        <w:bidi w:val="0"/>
        <w:adjustRightInd w:val="0"/>
        <w:snapToGrid w:val="0"/>
        <w:spacing w:line="360" w:lineRule="auto"/>
        <w:ind w:firstLine="560" w:firstLineChars="200"/>
        <w:jc w:val="both"/>
        <w:textAlignment w:val="auto"/>
        <w:rPr>
          <w:rFonts w:ascii="仿宋" w:hAnsi="仿宋" w:eastAsia="仿宋" w:cs="仿宋"/>
          <w:color w:val="000000"/>
          <w:sz w:val="28"/>
          <w:szCs w:val="28"/>
        </w:rPr>
      </w:pPr>
      <w:r>
        <w:rPr>
          <w:rFonts w:hint="eastAsia" w:ascii="仿宋" w:hAnsi="仿宋" w:eastAsia="仿宋" w:cs="仿宋"/>
          <w:color w:val="000000"/>
          <w:sz w:val="28"/>
          <w:szCs w:val="28"/>
        </w:rPr>
        <w:t>教学成果入选教育部第二批“人工智能+高等教育”应用场景典型案例、</w:t>
      </w:r>
      <w:r>
        <w:rPr>
          <w:rFonts w:hint="eastAsia" w:ascii="仿宋" w:hAnsi="仿宋" w:eastAsia="仿宋" w:cs="仿宋"/>
          <w:color w:val="000000"/>
          <w:sz w:val="28"/>
          <w:szCs w:val="28"/>
          <w:lang w:val="en-US" w:eastAsia="zh-CN"/>
        </w:rPr>
        <w:t>四川省教育厅</w:t>
      </w:r>
      <w:r>
        <w:rPr>
          <w:rFonts w:hint="eastAsia" w:ascii="仿宋" w:hAnsi="仿宋" w:eastAsia="仿宋" w:cs="仿宋"/>
          <w:color w:val="000000"/>
          <w:sz w:val="28"/>
          <w:szCs w:val="28"/>
        </w:rPr>
        <w:t>2024年数字校园应用场景典型案例</w:t>
      </w:r>
      <w:r>
        <w:rPr>
          <w:rFonts w:hint="eastAsia" w:ascii="仿宋" w:hAnsi="仿宋" w:eastAsia="仿宋" w:cs="仿宋"/>
          <w:sz w:val="28"/>
          <w:szCs w:val="28"/>
        </w:rPr>
        <w:t>。</w:t>
      </w:r>
    </w:p>
    <w:p w14:paraId="3C5FB599">
      <w:pPr>
        <w:keepNext w:val="0"/>
        <w:keepLines w:val="0"/>
        <w:pageBreakBefore w:val="0"/>
        <w:numPr>
          <w:ilvl w:val="0"/>
          <w:numId w:val="1"/>
        </w:numPr>
        <w:kinsoku/>
        <w:wordWrap/>
        <w:overflowPunct/>
        <w:topLinePunct w:val="0"/>
        <w:bidi w:val="0"/>
        <w:adjustRightInd w:val="0"/>
        <w:snapToGrid w:val="0"/>
        <w:spacing w:line="360" w:lineRule="auto"/>
        <w:ind w:firstLine="560" w:firstLineChars="200"/>
        <w:jc w:val="both"/>
        <w:textAlignment w:val="auto"/>
        <w:rPr>
          <w:rFonts w:hint="eastAsia" w:ascii="仿宋" w:hAnsi="仿宋" w:eastAsia="仿宋" w:cs="楷体"/>
          <w:color w:val="000000"/>
          <w:sz w:val="28"/>
          <w:szCs w:val="28"/>
        </w:rPr>
      </w:pPr>
      <w:r>
        <w:rPr>
          <w:rFonts w:hint="eastAsia" w:ascii="仿宋" w:hAnsi="仿宋" w:eastAsia="仿宋" w:cs="楷体"/>
          <w:color w:val="000000"/>
          <w:sz w:val="28"/>
          <w:szCs w:val="28"/>
        </w:rPr>
        <w:t>课堂教学质量先进奖等校级奖励17人次。</w:t>
      </w:r>
    </w:p>
    <w:p w14:paraId="69E0F728">
      <w:pPr>
        <w:keepNext w:val="0"/>
        <w:keepLines w:val="0"/>
        <w:pageBreakBefore w:val="0"/>
        <w:kinsoku/>
        <w:wordWrap/>
        <w:overflowPunct/>
        <w:topLinePunct w:val="0"/>
        <w:bidi w:val="0"/>
        <w:ind w:firstLine="560" w:firstLineChars="200"/>
        <w:textAlignment w:val="auto"/>
        <w:rPr>
          <w:rFonts w:hint="eastAsia" w:ascii="黑体" w:hAnsi="黑体" w:eastAsia="黑体" w:cs="仿宋_GB2312"/>
          <w:sz w:val="28"/>
          <w:szCs w:val="28"/>
        </w:rPr>
      </w:pPr>
      <w:r>
        <w:rPr>
          <w:rFonts w:hint="eastAsia" w:ascii="黑体" w:hAnsi="黑体" w:eastAsia="黑体" w:cs="仿宋_GB2312"/>
          <w:sz w:val="28"/>
          <w:szCs w:val="28"/>
        </w:rPr>
        <w:t>三、教学改革与科学研究</w:t>
      </w:r>
    </w:p>
    <w:p w14:paraId="0FD8D9A6">
      <w:pPr>
        <w:keepNext w:val="0"/>
        <w:keepLines w:val="0"/>
        <w:pageBreakBefore w:val="0"/>
        <w:kinsoku/>
        <w:wordWrap/>
        <w:overflowPunct/>
        <w:topLinePunct w:val="0"/>
        <w:bidi w:val="0"/>
        <w:ind w:firstLine="560" w:firstLineChars="200"/>
        <w:textAlignment w:val="auto"/>
        <w:rPr>
          <w:rFonts w:hint="eastAsia" w:ascii="楷体" w:hAnsi="楷体" w:eastAsia="楷体" w:cs="仿宋_GB2312"/>
          <w:sz w:val="28"/>
          <w:szCs w:val="28"/>
        </w:rPr>
      </w:pPr>
      <w:r>
        <w:rPr>
          <w:rFonts w:hint="eastAsia" w:ascii="楷体" w:hAnsi="楷体" w:eastAsia="楷体" w:cs="仿宋_GB2312"/>
          <w:sz w:val="28"/>
          <w:szCs w:val="28"/>
        </w:rPr>
        <w:t>（一）教学改革立项、进展、完成等情况</w:t>
      </w:r>
    </w:p>
    <w:p w14:paraId="00D28F34">
      <w:pPr>
        <w:keepNext w:val="0"/>
        <w:keepLines w:val="0"/>
        <w:pageBreakBefore w:val="0"/>
        <w:kinsoku/>
        <w:wordWrap/>
        <w:overflowPunct/>
        <w:topLinePunct w:val="0"/>
        <w:bidi w:val="0"/>
        <w:adjustRightInd w:val="0"/>
        <w:snapToGrid w:val="0"/>
        <w:spacing w:line="360" w:lineRule="auto"/>
        <w:ind w:firstLine="560" w:firstLineChars="200"/>
        <w:jc w:val="both"/>
        <w:textAlignment w:val="auto"/>
        <w:rPr>
          <w:rFonts w:hint="eastAsia" w:ascii="仿宋" w:hAnsi="仿宋" w:eastAsia="仿宋" w:cs="仿宋"/>
          <w:color w:val="000000"/>
          <w:sz w:val="28"/>
          <w:szCs w:val="28"/>
        </w:rPr>
      </w:pPr>
      <w:r>
        <w:rPr>
          <w:rFonts w:hint="eastAsia" w:ascii="仿宋" w:hAnsi="仿宋" w:eastAsia="仿宋" w:cs="仿宋"/>
          <w:color w:val="000000"/>
          <w:sz w:val="28"/>
          <w:szCs w:val="28"/>
        </w:rPr>
        <w:t>中心坚持以实验教学改革研究推动口腔医学教育事业高质量发展，本年度获评教育部高等学校虚拟仿真教学创新实验项目案例团队、获批国家级实验教改项目1项，省部级项目6项，校级项目19项，入选虚拟仿真实验教学联盟首批实验教学数字教材体系建设团队。</w:t>
      </w:r>
    </w:p>
    <w:p w14:paraId="633ACB9A">
      <w:pPr>
        <w:keepNext w:val="0"/>
        <w:keepLines w:val="0"/>
        <w:pageBreakBefore w:val="0"/>
        <w:kinsoku/>
        <w:wordWrap/>
        <w:overflowPunct/>
        <w:topLinePunct w:val="0"/>
        <w:bidi w:val="0"/>
        <w:ind w:firstLine="560" w:firstLineChars="200"/>
        <w:textAlignment w:val="auto"/>
        <w:rPr>
          <w:rFonts w:hint="eastAsia" w:ascii="楷体" w:hAnsi="楷体" w:eastAsia="楷体" w:cs="仿宋_GB2312"/>
          <w:sz w:val="28"/>
          <w:szCs w:val="28"/>
        </w:rPr>
      </w:pPr>
      <w:r>
        <w:rPr>
          <w:rFonts w:hint="eastAsia" w:ascii="楷体" w:hAnsi="楷体" w:eastAsia="楷体" w:cs="仿宋_GB2312"/>
          <w:sz w:val="28"/>
          <w:szCs w:val="28"/>
        </w:rPr>
        <w:t>（二）科学研究等情况</w:t>
      </w:r>
    </w:p>
    <w:p w14:paraId="6C50B6EC">
      <w:pPr>
        <w:keepNext w:val="0"/>
        <w:keepLines w:val="0"/>
        <w:pageBreakBefore w:val="0"/>
        <w:kinsoku/>
        <w:wordWrap/>
        <w:overflowPunct/>
        <w:topLinePunct w:val="0"/>
        <w:bidi w:val="0"/>
        <w:adjustRightInd w:val="0"/>
        <w:snapToGrid w:val="0"/>
        <w:spacing w:line="360" w:lineRule="auto"/>
        <w:ind w:firstLine="560" w:firstLineChars="200"/>
        <w:jc w:val="both"/>
        <w:textAlignment w:val="auto"/>
        <w:rPr>
          <w:rFonts w:hint="eastAsia" w:ascii="仿宋" w:hAnsi="仿宋" w:eastAsia="仿宋" w:cs="楷体"/>
          <w:sz w:val="28"/>
          <w:szCs w:val="28"/>
        </w:rPr>
      </w:pPr>
      <w:r>
        <w:rPr>
          <w:rFonts w:hint="eastAsia" w:ascii="仿宋" w:hAnsi="仿宋" w:eastAsia="仿宋" w:cs="仿宋_GB2312"/>
          <w:sz w:val="28"/>
          <w:szCs w:val="28"/>
        </w:rPr>
        <w:t>2</w:t>
      </w:r>
      <w:r>
        <w:rPr>
          <w:rFonts w:ascii="仿宋" w:hAnsi="仿宋" w:eastAsia="仿宋" w:cs="仿宋_GB2312"/>
          <w:sz w:val="28"/>
          <w:szCs w:val="28"/>
        </w:rPr>
        <w:t>02</w:t>
      </w:r>
      <w:r>
        <w:rPr>
          <w:rFonts w:hint="eastAsia" w:ascii="仿宋" w:hAnsi="仿宋" w:eastAsia="仿宋" w:cs="仿宋_GB2312"/>
          <w:sz w:val="28"/>
          <w:szCs w:val="28"/>
        </w:rPr>
        <w:t>4年</w:t>
      </w:r>
      <w:r>
        <w:rPr>
          <w:rFonts w:hint="eastAsia" w:ascii="仿宋" w:hAnsi="仿宋" w:eastAsia="仿宋" w:cs="楷体"/>
          <w:sz w:val="28"/>
          <w:szCs w:val="28"/>
        </w:rPr>
        <w:t>中心</w:t>
      </w:r>
      <w:r>
        <w:rPr>
          <w:rFonts w:hint="eastAsia" w:ascii="仿宋" w:hAnsi="仿宋" w:eastAsia="仿宋" w:cs="楷体"/>
          <w:sz w:val="28"/>
          <w:szCs w:val="28"/>
          <w:lang w:val="en-US" w:eastAsia="zh-CN"/>
        </w:rPr>
        <w:t>成员</w:t>
      </w:r>
      <w:r>
        <w:rPr>
          <w:rFonts w:hint="eastAsia" w:ascii="仿宋" w:hAnsi="仿宋" w:eastAsia="仿宋" w:cs="楷体"/>
          <w:sz w:val="28"/>
          <w:szCs w:val="28"/>
        </w:rPr>
        <w:t>主持和参与省级以上科研项目</w:t>
      </w:r>
      <w:r>
        <w:rPr>
          <w:rFonts w:hint="eastAsia" w:ascii="仿宋" w:hAnsi="仿宋" w:eastAsia="仿宋" w:cs="楷体"/>
          <w:sz w:val="28"/>
          <w:szCs w:val="28"/>
          <w:highlight w:val="none"/>
          <w:lang w:val="en-US" w:eastAsia="zh-CN"/>
        </w:rPr>
        <w:t>145</w:t>
      </w:r>
      <w:r>
        <w:rPr>
          <w:rFonts w:hint="eastAsia" w:ascii="仿宋" w:hAnsi="仿宋" w:eastAsia="仿宋" w:cs="楷体"/>
          <w:sz w:val="28"/>
          <w:szCs w:val="28"/>
        </w:rPr>
        <w:t>项，其中国家级项目</w:t>
      </w:r>
      <w:r>
        <w:rPr>
          <w:rFonts w:hint="eastAsia" w:ascii="仿宋" w:hAnsi="仿宋" w:eastAsia="仿宋" w:cs="楷体"/>
          <w:sz w:val="28"/>
          <w:szCs w:val="28"/>
          <w:highlight w:val="none"/>
          <w:lang w:val="en-US" w:eastAsia="zh-CN"/>
        </w:rPr>
        <w:t>73</w:t>
      </w:r>
      <w:r>
        <w:rPr>
          <w:rFonts w:hint="eastAsia" w:ascii="仿宋" w:hAnsi="仿宋" w:eastAsia="仿宋" w:cs="楷体"/>
          <w:sz w:val="28"/>
          <w:szCs w:val="28"/>
          <w:highlight w:val="none"/>
        </w:rPr>
        <w:t>项</w:t>
      </w:r>
      <w:r>
        <w:rPr>
          <w:rFonts w:hint="eastAsia" w:ascii="仿宋" w:hAnsi="仿宋" w:eastAsia="仿宋" w:cs="楷体"/>
          <w:sz w:val="28"/>
          <w:szCs w:val="28"/>
        </w:rPr>
        <w:t>；</w:t>
      </w:r>
      <w:r>
        <w:rPr>
          <w:rFonts w:hint="eastAsia" w:ascii="仿宋" w:hAnsi="仿宋" w:eastAsia="仿宋" w:cs="楷体"/>
          <w:sz w:val="28"/>
          <w:szCs w:val="28"/>
          <w:lang w:val="en-US" w:eastAsia="zh-CN"/>
        </w:rPr>
        <w:t>授权发明专利</w:t>
      </w:r>
      <w:r>
        <w:rPr>
          <w:rFonts w:hint="eastAsia" w:ascii="仿宋" w:hAnsi="仿宋" w:eastAsia="仿宋" w:cs="楷体"/>
          <w:sz w:val="28"/>
          <w:szCs w:val="28"/>
          <w:highlight w:val="none"/>
          <w:lang w:val="en-US" w:eastAsia="zh-CN"/>
        </w:rPr>
        <w:t>86</w:t>
      </w:r>
      <w:r>
        <w:rPr>
          <w:rFonts w:hint="eastAsia" w:ascii="仿宋" w:hAnsi="仿宋" w:eastAsia="仿宋" w:cs="楷体"/>
          <w:sz w:val="28"/>
          <w:szCs w:val="28"/>
          <w:highlight w:val="none"/>
        </w:rPr>
        <w:t>项</w:t>
      </w:r>
      <w:r>
        <w:rPr>
          <w:rFonts w:hint="eastAsia" w:ascii="仿宋" w:hAnsi="仿宋" w:eastAsia="仿宋" w:cs="楷体"/>
          <w:sz w:val="28"/>
          <w:szCs w:val="28"/>
        </w:rPr>
        <w:t>；在国内外刊物上发表论</w:t>
      </w:r>
      <w:r>
        <w:rPr>
          <w:rFonts w:hint="eastAsia" w:ascii="仿宋" w:hAnsi="仿宋" w:eastAsia="仿宋" w:cs="楷体"/>
          <w:sz w:val="28"/>
          <w:szCs w:val="28"/>
          <w:lang w:val="en-US" w:eastAsia="zh-CN"/>
        </w:rPr>
        <w:t>文</w:t>
      </w:r>
      <w:r>
        <w:rPr>
          <w:rFonts w:hint="eastAsia" w:ascii="仿宋" w:hAnsi="仿宋" w:eastAsia="仿宋" w:cs="楷体"/>
          <w:sz w:val="28"/>
          <w:szCs w:val="28"/>
          <w:highlight w:val="none"/>
          <w:lang w:val="en-US" w:eastAsia="zh-CN"/>
        </w:rPr>
        <w:t>454</w:t>
      </w:r>
      <w:r>
        <w:rPr>
          <w:rFonts w:hint="eastAsia" w:ascii="仿宋" w:hAnsi="仿宋" w:eastAsia="仿宋" w:cs="楷体"/>
          <w:sz w:val="28"/>
          <w:szCs w:val="28"/>
        </w:rPr>
        <w:t>篇；出版</w:t>
      </w:r>
      <w:r>
        <w:rPr>
          <w:rFonts w:hint="eastAsia" w:ascii="仿宋" w:hAnsi="仿宋" w:eastAsia="仿宋" w:cs="楷体"/>
          <w:sz w:val="28"/>
          <w:szCs w:val="28"/>
          <w:highlight w:val="none"/>
        </w:rPr>
        <w:t>英文专著</w:t>
      </w:r>
      <w:r>
        <w:rPr>
          <w:rFonts w:hint="eastAsia" w:ascii="仿宋" w:hAnsi="仿宋" w:eastAsia="仿宋" w:cs="楷体"/>
          <w:sz w:val="28"/>
          <w:szCs w:val="28"/>
          <w:highlight w:val="none"/>
          <w:lang w:val="en-US" w:eastAsia="zh-CN"/>
        </w:rPr>
        <w:t>3</w:t>
      </w:r>
      <w:r>
        <w:rPr>
          <w:rFonts w:hint="eastAsia" w:ascii="仿宋" w:hAnsi="仿宋" w:eastAsia="仿宋" w:cs="楷体"/>
          <w:sz w:val="28"/>
          <w:szCs w:val="28"/>
          <w:highlight w:val="none"/>
        </w:rPr>
        <w:t>本，中文专著</w:t>
      </w:r>
      <w:r>
        <w:rPr>
          <w:rFonts w:hint="eastAsia" w:ascii="仿宋" w:hAnsi="仿宋" w:eastAsia="仿宋" w:cs="楷体"/>
          <w:sz w:val="28"/>
          <w:szCs w:val="28"/>
          <w:highlight w:val="none"/>
          <w:lang w:val="en-US" w:eastAsia="zh-CN"/>
        </w:rPr>
        <w:t>14</w:t>
      </w:r>
      <w:r>
        <w:rPr>
          <w:rFonts w:hint="eastAsia" w:ascii="仿宋" w:hAnsi="仿宋" w:eastAsia="仿宋" w:cs="楷体"/>
          <w:sz w:val="28"/>
          <w:szCs w:val="28"/>
          <w:highlight w:val="none"/>
        </w:rPr>
        <w:t>部</w:t>
      </w:r>
      <w:r>
        <w:rPr>
          <w:rFonts w:hint="eastAsia" w:ascii="仿宋" w:hAnsi="仿宋" w:eastAsia="仿宋" w:cs="楷体"/>
          <w:sz w:val="28"/>
          <w:szCs w:val="28"/>
          <w:highlight w:val="none"/>
          <w:lang w:val="en-US" w:eastAsia="zh-CN"/>
        </w:rPr>
        <w:t>;仪器设备的研制和改装4项；发表会议论文6篇；获奖40项</w:t>
      </w:r>
      <w:r>
        <w:rPr>
          <w:rFonts w:hint="eastAsia" w:ascii="仿宋" w:hAnsi="仿宋" w:eastAsia="仿宋" w:cs="楷体"/>
          <w:sz w:val="28"/>
          <w:szCs w:val="28"/>
        </w:rPr>
        <w:t>。</w:t>
      </w:r>
    </w:p>
    <w:p w14:paraId="2C907AE7">
      <w:pPr>
        <w:keepNext w:val="0"/>
        <w:keepLines w:val="0"/>
        <w:pageBreakBefore w:val="0"/>
        <w:kinsoku/>
        <w:wordWrap/>
        <w:overflowPunct/>
        <w:topLinePunct w:val="0"/>
        <w:bidi w:val="0"/>
        <w:ind w:firstLine="560" w:firstLineChars="200"/>
        <w:textAlignment w:val="auto"/>
        <w:rPr>
          <w:rFonts w:hint="eastAsia" w:ascii="黑体" w:hAnsi="黑体" w:eastAsia="黑体" w:cs="仿宋_GB2312"/>
          <w:sz w:val="28"/>
          <w:szCs w:val="28"/>
        </w:rPr>
      </w:pPr>
      <w:r>
        <w:rPr>
          <w:rFonts w:hint="eastAsia" w:ascii="黑体" w:hAnsi="黑体" w:eastAsia="黑体" w:cs="仿宋_GB2312"/>
          <w:sz w:val="28"/>
          <w:szCs w:val="28"/>
        </w:rPr>
        <w:t>四、信息化建设、开放运行和示范辐射</w:t>
      </w:r>
    </w:p>
    <w:p w14:paraId="36D1F367">
      <w:pPr>
        <w:keepNext w:val="0"/>
        <w:keepLines w:val="0"/>
        <w:pageBreakBefore w:val="0"/>
        <w:kinsoku/>
        <w:wordWrap/>
        <w:overflowPunct/>
        <w:topLinePunct w:val="0"/>
        <w:bidi w:val="0"/>
        <w:ind w:firstLine="560" w:firstLineChars="200"/>
        <w:textAlignment w:val="auto"/>
        <w:rPr>
          <w:rFonts w:hint="eastAsia" w:ascii="楷体" w:hAnsi="楷体" w:eastAsia="楷体" w:cs="仿宋_GB2312"/>
          <w:b w:val="0"/>
          <w:bCs w:val="0"/>
          <w:color w:val="auto"/>
          <w:sz w:val="28"/>
          <w:szCs w:val="28"/>
          <w:highlight w:val="none"/>
        </w:rPr>
      </w:pPr>
      <w:r>
        <w:rPr>
          <w:rFonts w:hint="eastAsia" w:ascii="楷体" w:hAnsi="楷体" w:eastAsia="楷体" w:cs="仿宋_GB2312"/>
          <w:sz w:val="28"/>
          <w:szCs w:val="28"/>
        </w:rPr>
        <w:t>（一）信息化资源、平台建设，</w:t>
      </w:r>
      <w:r>
        <w:rPr>
          <w:rFonts w:hint="eastAsia" w:ascii="楷体" w:hAnsi="楷体" w:eastAsia="楷体" w:cs="仿宋_GB2312"/>
          <w:b w:val="0"/>
          <w:bCs w:val="0"/>
          <w:color w:val="auto"/>
          <w:sz w:val="28"/>
          <w:szCs w:val="28"/>
          <w:highlight w:val="none"/>
        </w:rPr>
        <w:t>人员信息化能力提升等情况</w:t>
      </w:r>
    </w:p>
    <w:p w14:paraId="7AF6D01F">
      <w:pPr>
        <w:keepNext w:val="0"/>
        <w:keepLines w:val="0"/>
        <w:pageBreakBefore w:val="0"/>
        <w:widowControl w:val="0"/>
        <w:kinsoku/>
        <w:wordWrap/>
        <w:overflowPunct/>
        <w:topLinePunct w:val="0"/>
        <w:bidi w:val="0"/>
        <w:adjustRightInd w:val="0"/>
        <w:snapToGrid w:val="0"/>
        <w:spacing w:line="360" w:lineRule="auto"/>
        <w:ind w:firstLine="562" w:firstLineChars="200"/>
        <w:textAlignment w:val="auto"/>
        <w:rPr>
          <w:rFonts w:hint="eastAsia" w:ascii="仿宋" w:hAnsi="仿宋" w:eastAsia="仿宋" w:cs="仿宋"/>
          <w:b/>
          <w:bCs/>
          <w:sz w:val="28"/>
          <w:szCs w:val="28"/>
        </w:rPr>
      </w:pPr>
      <w:bookmarkStart w:id="3" w:name="_Hlk122526264"/>
      <w:r>
        <w:rPr>
          <w:rFonts w:hint="eastAsia" w:ascii="仿宋" w:hAnsi="仿宋" w:eastAsia="仿宋" w:cs="仿宋"/>
          <w:b/>
          <w:bCs/>
          <w:sz w:val="28"/>
          <w:szCs w:val="28"/>
        </w:rPr>
        <w:t>1.信息化资源与平台建设</w:t>
      </w:r>
    </w:p>
    <w:p w14:paraId="54AA43D2">
      <w:pPr>
        <w:keepNext w:val="0"/>
        <w:keepLines w:val="0"/>
        <w:pageBreakBefore w:val="0"/>
        <w:widowControl w:val="0"/>
        <w:kinsoku/>
        <w:wordWrap/>
        <w:overflowPunct/>
        <w:topLinePunct w:val="0"/>
        <w:bidi w:val="0"/>
        <w:adjustRightInd w:val="0"/>
        <w:snapToGrid w:val="0"/>
        <w:spacing w:line="360" w:lineRule="auto"/>
        <w:ind w:firstLine="560" w:firstLineChars="200"/>
        <w:textAlignment w:val="auto"/>
        <w:rPr>
          <w:rFonts w:hint="eastAsia" w:ascii="仿宋" w:hAnsi="仿宋" w:eastAsia="仿宋" w:cs="仿宋"/>
          <w:sz w:val="28"/>
          <w:szCs w:val="28"/>
          <w:lang w:val="en-US" w:eastAsia="zh-CN"/>
        </w:rPr>
      </w:pPr>
      <w:r>
        <w:rPr>
          <w:rFonts w:hint="eastAsia" w:ascii="仿宋" w:hAnsi="仿宋" w:eastAsia="仿宋" w:cs="仿宋"/>
          <w:sz w:val="28"/>
          <w:szCs w:val="28"/>
        </w:rPr>
        <w:t>（1）本年度中心网址年度访问总量</w:t>
      </w:r>
      <w:r>
        <w:rPr>
          <w:rFonts w:hint="eastAsia" w:ascii="仿宋" w:hAnsi="仿宋" w:eastAsia="仿宋" w:cs="仿宋"/>
          <w:sz w:val="28"/>
          <w:szCs w:val="28"/>
          <w:lang w:val="en-US" w:eastAsia="zh-CN"/>
        </w:rPr>
        <w:t>64000</w:t>
      </w:r>
      <w:r>
        <w:rPr>
          <w:rFonts w:hint="eastAsia" w:ascii="仿宋" w:hAnsi="仿宋" w:eastAsia="仿宋" w:cs="仿宋"/>
          <w:sz w:val="28"/>
          <w:szCs w:val="28"/>
        </w:rPr>
        <w:t>人次，</w:t>
      </w:r>
      <w:r>
        <w:rPr>
          <w:rFonts w:hint="eastAsia" w:ascii="仿宋" w:hAnsi="仿宋" w:eastAsia="仿宋" w:cs="仿宋"/>
          <w:sz w:val="28"/>
          <w:szCs w:val="28"/>
          <w:lang w:val="en-US" w:eastAsia="zh-CN"/>
        </w:rPr>
        <w:t>华西口腔</w:t>
      </w:r>
      <w:r>
        <w:rPr>
          <w:rFonts w:hint="eastAsia" w:ascii="仿宋" w:hAnsi="仿宋" w:eastAsia="仿宋" w:cs="仿宋"/>
          <w:sz w:val="28"/>
          <w:szCs w:val="28"/>
        </w:rPr>
        <w:t>虚拟仿真实验教学</w:t>
      </w:r>
      <w:r>
        <w:rPr>
          <w:rFonts w:hint="eastAsia" w:ascii="仿宋" w:hAnsi="仿宋" w:eastAsia="仿宋" w:cs="仿宋"/>
          <w:sz w:val="28"/>
          <w:szCs w:val="28"/>
          <w:lang w:val="en-US" w:eastAsia="zh-CN"/>
        </w:rPr>
        <w:t>开放</w:t>
      </w:r>
      <w:r>
        <w:rPr>
          <w:rFonts w:hint="eastAsia" w:ascii="仿宋" w:hAnsi="仿宋" w:eastAsia="仿宋" w:cs="仿宋"/>
          <w:sz w:val="28"/>
          <w:szCs w:val="28"/>
        </w:rPr>
        <w:t>平台</w:t>
      </w:r>
      <w:r>
        <w:rPr>
          <w:rFonts w:hint="eastAsia" w:ascii="仿宋" w:hAnsi="仿宋" w:eastAsia="仿宋" w:cs="仿宋"/>
          <w:sz w:val="28"/>
          <w:szCs w:val="28"/>
          <w:lang w:val="en-US" w:eastAsia="zh-CN"/>
        </w:rPr>
        <w:t>共上线17项虚仿实验教学项目，更新资源量3.16Gb。</w:t>
      </w:r>
    </w:p>
    <w:p w14:paraId="02F05252">
      <w:pPr>
        <w:keepNext w:val="0"/>
        <w:keepLines w:val="0"/>
        <w:pageBreakBefore w:val="0"/>
        <w:widowControl w:val="0"/>
        <w:kinsoku/>
        <w:wordWrap/>
        <w:overflowPunct/>
        <w:topLinePunct w:val="0"/>
        <w:bidi w:val="0"/>
        <w:adjustRightInd w:val="0"/>
        <w:snapToGrid w:val="0"/>
        <w:spacing w:line="360" w:lineRule="auto"/>
        <w:ind w:firstLine="560" w:firstLineChars="200"/>
        <w:textAlignment w:val="auto"/>
        <w:rPr>
          <w:rFonts w:ascii="仿宋" w:hAnsi="仿宋" w:eastAsia="仿宋" w:cs="仿宋"/>
          <w:b/>
          <w:bCs/>
          <w:sz w:val="28"/>
          <w:szCs w:val="28"/>
        </w:rPr>
      </w:pP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2</w:t>
      </w:r>
      <w:r>
        <w:rPr>
          <w:rFonts w:hint="eastAsia" w:ascii="仿宋" w:hAnsi="仿宋" w:eastAsia="仿宋" w:cs="仿宋"/>
          <w:sz w:val="28"/>
          <w:szCs w:val="28"/>
          <w:lang w:eastAsia="zh-CN"/>
        </w:rPr>
        <w:t>）</w:t>
      </w:r>
      <w:bookmarkEnd w:id="3"/>
      <w:r>
        <w:rPr>
          <w:rFonts w:hint="eastAsia" w:ascii="仿宋" w:hAnsi="仿宋" w:eastAsia="仿宋" w:cs="仿宋"/>
          <w:sz w:val="28"/>
          <w:szCs w:val="28"/>
          <w:lang w:val="en-US" w:eastAsia="zh-CN"/>
        </w:rPr>
        <w:t>中心新建</w:t>
      </w:r>
      <w:r>
        <w:rPr>
          <w:rFonts w:hint="eastAsia" w:ascii="仿宋" w:hAnsi="仿宋" w:eastAsia="仿宋" w:cs="仿宋"/>
          <w:sz w:val="28"/>
          <w:szCs w:val="28"/>
        </w:rPr>
        <w:t>基于力反馈的虚拟仿真根管治疗、口腔手术应用解剖VR实验</w:t>
      </w:r>
      <w:r>
        <w:rPr>
          <w:rFonts w:hint="eastAsia" w:ascii="仿宋" w:hAnsi="仿宋" w:eastAsia="仿宋" w:cs="仿宋"/>
          <w:sz w:val="28"/>
          <w:szCs w:val="28"/>
          <w:lang w:val="en-US" w:eastAsia="zh-CN"/>
        </w:rPr>
        <w:t>等虚拟仿真资源</w:t>
      </w:r>
      <w:r>
        <w:rPr>
          <w:rFonts w:hint="eastAsia" w:ascii="仿宋" w:hAnsi="仿宋" w:eastAsia="仿宋" w:cs="仿宋"/>
          <w:sz w:val="28"/>
          <w:szCs w:val="28"/>
        </w:rPr>
        <w:t>。校企合作成功生成口腔显微虚拟仿真培训系统、口腔空间计算虚实融合模拟诊疗台系统</w:t>
      </w:r>
      <w:r>
        <w:rPr>
          <w:rFonts w:hint="eastAsia" w:ascii="仿宋" w:hAnsi="仿宋" w:eastAsia="仿宋" w:cs="仿宋"/>
          <w:sz w:val="28"/>
          <w:szCs w:val="28"/>
          <w:lang w:val="en-US" w:eastAsia="zh-CN"/>
        </w:rPr>
        <w:t>2款</w:t>
      </w:r>
      <w:r>
        <w:rPr>
          <w:rFonts w:hint="eastAsia" w:ascii="仿宋" w:hAnsi="仿宋" w:eastAsia="仿宋" w:cs="仿宋"/>
          <w:sz w:val="28"/>
          <w:szCs w:val="28"/>
        </w:rPr>
        <w:t>教学新装备。</w:t>
      </w:r>
      <w:r>
        <w:rPr>
          <w:rFonts w:hint="eastAsia" w:ascii="仿宋" w:hAnsi="仿宋" w:eastAsia="仿宋" w:cs="仿宋"/>
          <w:sz w:val="28"/>
          <w:szCs w:val="28"/>
          <w:lang w:val="en-US" w:eastAsia="zh-CN"/>
        </w:rPr>
        <w:t>中心教师</w:t>
      </w:r>
      <w:r>
        <w:rPr>
          <w:rFonts w:hint="eastAsia" w:ascii="仿宋" w:hAnsi="仿宋" w:eastAsia="仿宋" w:cs="仿宋"/>
          <w:sz w:val="28"/>
          <w:szCs w:val="28"/>
        </w:rPr>
        <w:t>通过整合实物作品反馈、线上课程与数字教学设备反馈、教师评价等评价数据来源，建设本科生临床前技能形成性评价数据平台。</w:t>
      </w:r>
    </w:p>
    <w:p w14:paraId="1A37C863">
      <w:pPr>
        <w:keepNext w:val="0"/>
        <w:keepLines w:val="0"/>
        <w:pageBreakBefore w:val="0"/>
        <w:widowControl w:val="0"/>
        <w:kinsoku/>
        <w:wordWrap/>
        <w:overflowPunct/>
        <w:topLinePunct w:val="0"/>
        <w:bidi w:val="0"/>
        <w:adjustRightInd w:val="0"/>
        <w:snapToGrid w:val="0"/>
        <w:spacing w:line="360" w:lineRule="auto"/>
        <w:ind w:firstLine="562" w:firstLineChars="200"/>
        <w:textAlignment w:val="auto"/>
        <w:rPr>
          <w:rFonts w:ascii="仿宋" w:hAnsi="仿宋" w:eastAsia="仿宋" w:cs="仿宋"/>
          <w:b/>
          <w:bCs/>
          <w:sz w:val="28"/>
          <w:szCs w:val="28"/>
        </w:rPr>
      </w:pPr>
      <w:r>
        <w:rPr>
          <w:rFonts w:hint="eastAsia" w:ascii="仿宋" w:hAnsi="仿宋" w:eastAsia="仿宋" w:cs="仿宋"/>
          <w:b/>
          <w:bCs/>
          <w:sz w:val="28"/>
          <w:szCs w:val="28"/>
        </w:rPr>
        <w:t>2.人员信息化能力提升</w:t>
      </w:r>
    </w:p>
    <w:p w14:paraId="0FCF5941">
      <w:pPr>
        <w:keepNext w:val="0"/>
        <w:keepLines w:val="0"/>
        <w:pageBreakBefore w:val="0"/>
        <w:widowControl w:val="0"/>
        <w:kinsoku/>
        <w:wordWrap/>
        <w:overflowPunct/>
        <w:topLinePunct w:val="0"/>
        <w:bidi w:val="0"/>
        <w:adjustRightInd w:val="0"/>
        <w:snapToGrid w:val="0"/>
        <w:spacing w:line="360" w:lineRule="auto"/>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中心</w:t>
      </w:r>
      <w:r>
        <w:rPr>
          <w:rFonts w:ascii="仿宋" w:hAnsi="仿宋" w:eastAsia="仿宋" w:cs="仿宋"/>
          <w:sz w:val="28"/>
          <w:szCs w:val="28"/>
        </w:rPr>
        <w:t>通过</w:t>
      </w:r>
      <w:r>
        <w:rPr>
          <w:rFonts w:hint="eastAsia" w:ascii="仿宋" w:hAnsi="仿宋" w:eastAsia="仿宋" w:cs="仿宋"/>
          <w:sz w:val="28"/>
          <w:szCs w:val="28"/>
          <w:lang w:val="en-US" w:eastAsia="zh-CN"/>
        </w:rPr>
        <w:t>线上+线下</w:t>
      </w:r>
      <w:r>
        <w:rPr>
          <w:rFonts w:ascii="仿宋" w:hAnsi="仿宋" w:eastAsia="仿宋" w:cs="仿宋"/>
          <w:sz w:val="28"/>
          <w:szCs w:val="28"/>
        </w:rPr>
        <w:t>专题讲座、会议交流等多种途径，提升中心人员的信息化水平和</w:t>
      </w:r>
      <w:r>
        <w:rPr>
          <w:rFonts w:hint="eastAsia" w:ascii="仿宋" w:hAnsi="仿宋" w:eastAsia="仿宋" w:cs="仿宋"/>
          <w:sz w:val="28"/>
          <w:szCs w:val="28"/>
        </w:rPr>
        <w:t>应用数字技术开展</w:t>
      </w:r>
      <w:r>
        <w:rPr>
          <w:rFonts w:ascii="仿宋" w:hAnsi="仿宋" w:eastAsia="仿宋" w:cs="仿宋"/>
          <w:sz w:val="28"/>
          <w:szCs w:val="28"/>
        </w:rPr>
        <w:t>实验教学</w:t>
      </w:r>
      <w:r>
        <w:rPr>
          <w:rFonts w:hint="eastAsia" w:ascii="仿宋" w:hAnsi="仿宋" w:eastAsia="仿宋" w:cs="仿宋"/>
          <w:sz w:val="28"/>
          <w:szCs w:val="28"/>
        </w:rPr>
        <w:t>的</w:t>
      </w:r>
      <w:r>
        <w:rPr>
          <w:rFonts w:ascii="仿宋" w:hAnsi="仿宋" w:eastAsia="仿宋" w:cs="仿宋"/>
          <w:sz w:val="28"/>
          <w:szCs w:val="28"/>
        </w:rPr>
        <w:t>能力。</w:t>
      </w:r>
    </w:p>
    <w:p w14:paraId="7F62315B">
      <w:pPr>
        <w:keepNext w:val="0"/>
        <w:keepLines w:val="0"/>
        <w:pageBreakBefore w:val="0"/>
        <w:numPr>
          <w:ilvl w:val="0"/>
          <w:numId w:val="2"/>
        </w:numPr>
        <w:kinsoku/>
        <w:wordWrap/>
        <w:overflowPunct/>
        <w:topLinePunct w:val="0"/>
        <w:bidi w:val="0"/>
        <w:ind w:firstLine="560" w:firstLineChars="200"/>
        <w:textAlignment w:val="auto"/>
        <w:rPr>
          <w:rFonts w:hint="eastAsia" w:ascii="楷体" w:hAnsi="楷体" w:eastAsia="楷体" w:cs="仿宋_GB2312"/>
          <w:sz w:val="28"/>
          <w:szCs w:val="28"/>
        </w:rPr>
      </w:pPr>
      <w:r>
        <w:rPr>
          <w:rFonts w:hint="eastAsia" w:ascii="楷体" w:hAnsi="楷体" w:eastAsia="楷体" w:cs="仿宋_GB2312"/>
          <w:sz w:val="28"/>
          <w:szCs w:val="28"/>
        </w:rPr>
        <w:t>开放运行、安全运行等情况</w:t>
      </w:r>
    </w:p>
    <w:p w14:paraId="6F2DBE9B">
      <w:pPr>
        <w:keepNext w:val="0"/>
        <w:keepLines w:val="0"/>
        <w:pageBreakBefore w:val="0"/>
        <w:widowControl/>
        <w:numPr>
          <w:ilvl w:val="0"/>
          <w:numId w:val="0"/>
        </w:numPr>
        <w:kinsoku/>
        <w:wordWrap/>
        <w:overflowPunct/>
        <w:topLinePunct w:val="0"/>
        <w:autoSpaceDE/>
        <w:autoSpaceDN/>
        <w:bidi w:val="0"/>
        <w:adjustRightInd/>
        <w:snapToGrid/>
        <w:ind w:firstLine="562" w:firstLineChars="200"/>
        <w:textAlignment w:val="auto"/>
        <w:rPr>
          <w:rFonts w:hint="default" w:ascii="楷体" w:hAnsi="楷体" w:eastAsia="楷体" w:cs="仿宋_GB2312"/>
          <w:sz w:val="28"/>
          <w:szCs w:val="28"/>
          <w:lang w:val="en-US" w:eastAsia="zh-CN"/>
        </w:rPr>
      </w:pPr>
      <w:r>
        <w:rPr>
          <w:rFonts w:hint="eastAsia" w:ascii="仿宋" w:hAnsi="仿宋" w:eastAsia="仿宋" w:cs="仿宋"/>
          <w:b/>
          <w:bCs/>
          <w:sz w:val="28"/>
          <w:szCs w:val="28"/>
          <w:lang w:val="en-US" w:eastAsia="zh-CN"/>
        </w:rPr>
        <w:t>1.开放运行</w:t>
      </w:r>
    </w:p>
    <w:p w14:paraId="047DF854">
      <w:pPr>
        <w:keepNext w:val="0"/>
        <w:keepLines w:val="0"/>
        <w:pageBreakBefore w:val="0"/>
        <w:kinsoku/>
        <w:wordWrap/>
        <w:overflowPunct/>
        <w:topLinePunct w:val="0"/>
        <w:bidi w:val="0"/>
        <w:adjustRightInd w:val="0"/>
        <w:snapToGrid w:val="0"/>
        <w:spacing w:line="360" w:lineRule="auto"/>
        <w:ind w:firstLine="560" w:firstLineChars="200"/>
        <w:textAlignment w:val="auto"/>
        <w:rPr>
          <w:rFonts w:hint="eastAsia" w:ascii="仿宋" w:hAnsi="仿宋" w:eastAsia="仿宋"/>
          <w:sz w:val="28"/>
          <w:szCs w:val="28"/>
          <w:highlight w:val="none"/>
          <w:lang w:val="en-US" w:eastAsia="zh-CN"/>
        </w:rPr>
      </w:pPr>
      <w:r>
        <w:rPr>
          <w:rFonts w:hint="eastAsia" w:ascii="仿宋" w:hAnsi="仿宋" w:eastAsia="仿宋"/>
          <w:sz w:val="28"/>
          <w:szCs w:val="28"/>
          <w:lang w:val="en-US" w:eastAsia="zh-CN"/>
        </w:rPr>
        <w:t>2024年中心面向院外学生开展实习、毕业后/继续教育培训等活动合</w:t>
      </w:r>
      <w:r>
        <w:rPr>
          <w:rFonts w:hint="eastAsia" w:ascii="仿宋" w:hAnsi="仿宋" w:eastAsia="仿宋"/>
          <w:sz w:val="28"/>
          <w:szCs w:val="28"/>
          <w:highlight w:val="none"/>
          <w:lang w:val="en-US" w:eastAsia="zh-CN"/>
        </w:rPr>
        <w:t>计2.7万余</w:t>
      </w:r>
      <w:r>
        <w:rPr>
          <w:rFonts w:hint="eastAsia" w:ascii="仿宋" w:hAnsi="仿宋" w:eastAsia="仿宋"/>
          <w:sz w:val="28"/>
          <w:szCs w:val="28"/>
          <w:lang w:val="en-US" w:eastAsia="zh-CN"/>
        </w:rPr>
        <w:t>人学时、</w:t>
      </w:r>
      <w:r>
        <w:rPr>
          <w:rFonts w:hint="eastAsia" w:ascii="仿宋" w:hAnsi="仿宋" w:eastAsia="仿宋"/>
          <w:sz w:val="28"/>
          <w:szCs w:val="28"/>
        </w:rPr>
        <w:t>支撑2024年度国际课程周等大型活动</w:t>
      </w:r>
      <w:r>
        <w:rPr>
          <w:rFonts w:hint="eastAsia" w:ascii="仿宋" w:hAnsi="仿宋" w:eastAsia="仿宋"/>
          <w:sz w:val="28"/>
          <w:szCs w:val="28"/>
          <w:lang w:eastAsia="zh-CN"/>
        </w:rPr>
        <w:t>，</w:t>
      </w:r>
      <w:r>
        <w:rPr>
          <w:rFonts w:hint="eastAsia" w:ascii="仿宋" w:hAnsi="仿宋" w:eastAsia="仿宋"/>
          <w:sz w:val="28"/>
          <w:szCs w:val="28"/>
          <w:lang w:val="en-US" w:eastAsia="zh-CN"/>
        </w:rPr>
        <w:t>合计</w:t>
      </w:r>
      <w:r>
        <w:rPr>
          <w:rFonts w:hint="eastAsia" w:ascii="仿宋" w:hAnsi="仿宋" w:eastAsia="仿宋"/>
          <w:sz w:val="28"/>
          <w:szCs w:val="28"/>
          <w:highlight w:val="none"/>
          <w:lang w:val="en-US" w:eastAsia="zh-CN"/>
        </w:rPr>
        <w:t>600余</w:t>
      </w:r>
      <w:r>
        <w:rPr>
          <w:rFonts w:hint="eastAsia" w:ascii="仿宋" w:hAnsi="仿宋" w:eastAsia="仿宋"/>
          <w:sz w:val="28"/>
          <w:szCs w:val="28"/>
          <w:lang w:val="en-US" w:eastAsia="zh-CN"/>
        </w:rPr>
        <w:t>人次。开展科普讲座</w:t>
      </w:r>
      <w:r>
        <w:rPr>
          <w:rFonts w:hint="eastAsia" w:ascii="仿宋" w:hAnsi="仿宋" w:eastAsia="仿宋"/>
          <w:sz w:val="28"/>
          <w:szCs w:val="28"/>
          <w:highlight w:val="none"/>
          <w:lang w:val="en-US" w:eastAsia="zh-CN"/>
        </w:rPr>
        <w:t>500余人</w:t>
      </w:r>
      <w:r>
        <w:rPr>
          <w:rFonts w:hint="eastAsia" w:ascii="仿宋" w:hAnsi="仿宋" w:eastAsia="仿宋"/>
          <w:sz w:val="28"/>
          <w:szCs w:val="28"/>
          <w:lang w:val="en-US" w:eastAsia="zh-CN"/>
        </w:rPr>
        <w:t>次，接待国内外</w:t>
      </w:r>
      <w:r>
        <w:rPr>
          <w:rFonts w:hint="eastAsia" w:ascii="仿宋" w:hAnsi="仿宋" w:eastAsia="仿宋"/>
          <w:sz w:val="28"/>
          <w:szCs w:val="28"/>
          <w:highlight w:val="none"/>
          <w:lang w:val="en-US" w:eastAsia="zh-CN"/>
        </w:rPr>
        <w:t>40余家口腔医学院校及专家团队来中心交流访问400余人次。</w:t>
      </w:r>
    </w:p>
    <w:p w14:paraId="1175D70B">
      <w:pPr>
        <w:keepNext w:val="0"/>
        <w:keepLines w:val="0"/>
        <w:pageBreakBefore w:val="0"/>
        <w:widowControl/>
        <w:numPr>
          <w:ilvl w:val="0"/>
          <w:numId w:val="0"/>
        </w:numPr>
        <w:kinsoku/>
        <w:wordWrap/>
        <w:overflowPunct/>
        <w:topLinePunct w:val="0"/>
        <w:autoSpaceDE/>
        <w:autoSpaceDN/>
        <w:bidi w:val="0"/>
        <w:adjustRightInd/>
        <w:snapToGrid/>
        <w:ind w:firstLine="562" w:firstLineChars="200"/>
        <w:textAlignment w:val="auto"/>
        <w:rPr>
          <w:rFonts w:hint="default" w:ascii="仿宋" w:hAnsi="仿宋" w:eastAsia="仿宋" w:cs="仿宋"/>
          <w:b/>
          <w:bCs/>
          <w:sz w:val="28"/>
          <w:szCs w:val="28"/>
          <w:lang w:val="en-US" w:eastAsia="zh-CN"/>
        </w:rPr>
      </w:pPr>
      <w:r>
        <w:rPr>
          <w:rFonts w:hint="eastAsia" w:ascii="仿宋" w:hAnsi="仿宋" w:eastAsia="仿宋" w:cs="仿宋"/>
          <w:b/>
          <w:bCs/>
          <w:sz w:val="28"/>
          <w:szCs w:val="28"/>
          <w:lang w:val="en-US" w:eastAsia="zh-CN"/>
        </w:rPr>
        <w:t>2.安全运行</w:t>
      </w:r>
    </w:p>
    <w:p w14:paraId="4892E487">
      <w:pPr>
        <w:keepNext w:val="0"/>
        <w:keepLines w:val="0"/>
        <w:pageBreakBefore w:val="0"/>
        <w:widowControl w:val="0"/>
        <w:kinsoku/>
        <w:wordWrap/>
        <w:overflowPunct/>
        <w:topLinePunct w:val="0"/>
        <w:bidi w:val="0"/>
        <w:adjustRightInd w:val="0"/>
        <w:snapToGrid w:val="0"/>
        <w:spacing w:line="360" w:lineRule="auto"/>
        <w:ind w:firstLine="560" w:firstLineChars="200"/>
        <w:textAlignment w:val="auto"/>
        <w:rPr>
          <w:rFonts w:hint="eastAsia" w:ascii="楷体" w:hAnsi="楷体" w:eastAsia="楷体" w:cs="仿宋_GB2312"/>
          <w:sz w:val="28"/>
          <w:szCs w:val="28"/>
        </w:rPr>
      </w:pPr>
      <w:r>
        <w:rPr>
          <w:rFonts w:hint="eastAsia" w:ascii="仿宋" w:hAnsi="仿宋" w:eastAsia="仿宋" w:cs="仿宋"/>
          <w:sz w:val="28"/>
          <w:szCs w:val="28"/>
        </w:rPr>
        <w:t>中心持续加强实验室安全管理及入室师生的安全培训</w:t>
      </w: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2024年开展安全培训640人次；</w:t>
      </w:r>
      <w:r>
        <w:rPr>
          <w:rFonts w:hint="eastAsia" w:ascii="仿宋" w:hAnsi="仿宋" w:eastAsia="仿宋" w:cs="仿宋"/>
          <w:sz w:val="28"/>
          <w:szCs w:val="28"/>
        </w:rPr>
        <w:t>年组织安全检查14次，通过自查杜绝安全隐患，保障了全年</w:t>
      </w:r>
      <w:r>
        <w:rPr>
          <w:rFonts w:hint="eastAsia" w:ascii="仿宋" w:hAnsi="仿宋" w:eastAsia="仿宋" w:cs="仿宋"/>
          <w:sz w:val="28"/>
          <w:szCs w:val="28"/>
          <w:lang w:val="en-US" w:eastAsia="zh-CN"/>
        </w:rPr>
        <w:t>中心安全无事故</w:t>
      </w:r>
      <w:r>
        <w:rPr>
          <w:rFonts w:hint="eastAsia" w:ascii="仿宋" w:hAnsi="仿宋" w:eastAsia="仿宋" w:cs="仿宋"/>
          <w:sz w:val="28"/>
          <w:szCs w:val="28"/>
        </w:rPr>
        <w:t>。</w:t>
      </w:r>
    </w:p>
    <w:p w14:paraId="42DEA887">
      <w:pPr>
        <w:keepNext w:val="0"/>
        <w:keepLines w:val="0"/>
        <w:pageBreakBefore w:val="0"/>
        <w:numPr>
          <w:ilvl w:val="0"/>
          <w:numId w:val="2"/>
        </w:numPr>
        <w:kinsoku/>
        <w:wordWrap/>
        <w:overflowPunct/>
        <w:topLinePunct w:val="0"/>
        <w:bidi w:val="0"/>
        <w:ind w:firstLine="560" w:firstLineChars="200"/>
        <w:textAlignment w:val="auto"/>
        <w:rPr>
          <w:rFonts w:hint="eastAsia" w:ascii="楷体" w:hAnsi="楷体" w:eastAsia="楷体" w:cs="仿宋_GB2312"/>
          <w:sz w:val="28"/>
          <w:szCs w:val="28"/>
        </w:rPr>
      </w:pPr>
      <w:r>
        <w:rPr>
          <w:rFonts w:hint="eastAsia" w:ascii="楷体" w:hAnsi="楷体" w:eastAsia="楷体" w:cs="仿宋_GB2312"/>
          <w:sz w:val="28"/>
          <w:szCs w:val="28"/>
        </w:rPr>
        <w:t>对外交流合作、发挥示范引领、支持中西部高校实验教学改革等情况</w:t>
      </w:r>
    </w:p>
    <w:p w14:paraId="0B839406">
      <w:pPr>
        <w:keepNext w:val="0"/>
        <w:keepLines w:val="0"/>
        <w:pageBreakBefore w:val="0"/>
        <w:kinsoku/>
        <w:wordWrap/>
        <w:overflowPunct/>
        <w:topLinePunct w:val="0"/>
        <w:bidi w:val="0"/>
        <w:adjustRightInd w:val="0"/>
        <w:snapToGrid w:val="0"/>
        <w:spacing w:line="360" w:lineRule="auto"/>
        <w:ind w:firstLine="562" w:firstLineChars="200"/>
        <w:textAlignment w:val="auto"/>
        <w:rPr>
          <w:rFonts w:hint="eastAsia" w:ascii="仿宋" w:hAnsi="仿宋" w:eastAsia="仿宋" w:cs="仿宋"/>
          <w:sz w:val="28"/>
          <w:szCs w:val="28"/>
          <w:lang w:eastAsia="zh-CN"/>
        </w:rPr>
      </w:pPr>
      <w:r>
        <w:rPr>
          <w:rFonts w:hint="eastAsia" w:ascii="仿宋" w:hAnsi="仿宋" w:eastAsia="仿宋" w:cs="仿宋"/>
          <w:b/>
          <w:bCs/>
          <w:sz w:val="28"/>
          <w:szCs w:val="28"/>
        </w:rPr>
        <w:t>1.</w:t>
      </w:r>
      <w:r>
        <w:rPr>
          <w:rFonts w:hint="eastAsia" w:ascii="仿宋" w:hAnsi="仿宋" w:eastAsia="仿宋" w:cs="仿宋"/>
          <w:b/>
          <w:bCs/>
          <w:sz w:val="28"/>
          <w:szCs w:val="28"/>
          <w:lang w:val="en-US" w:eastAsia="zh-CN"/>
        </w:rPr>
        <w:t>对外交流</w:t>
      </w:r>
      <w:r>
        <w:rPr>
          <w:rFonts w:hint="eastAsia" w:ascii="仿宋" w:hAnsi="仿宋" w:eastAsia="仿宋" w:cs="仿宋"/>
          <w:sz w:val="28"/>
          <w:szCs w:val="28"/>
        </w:rPr>
        <w:t>：</w:t>
      </w:r>
      <w:r>
        <w:rPr>
          <w:rFonts w:hint="eastAsia" w:ascii="仿宋" w:hAnsi="仿宋" w:eastAsia="仿宋" w:cs="仿宋_GB2312"/>
          <w:sz w:val="28"/>
          <w:szCs w:val="28"/>
        </w:rPr>
        <w:t>中心教师受邀在全国大会做</w:t>
      </w:r>
      <w:r>
        <w:rPr>
          <w:rFonts w:hint="eastAsia" w:ascii="仿宋" w:hAnsi="仿宋" w:eastAsia="仿宋" w:cs="仿宋_GB2312"/>
          <w:sz w:val="28"/>
          <w:szCs w:val="28"/>
          <w:lang w:val="en-US" w:eastAsia="zh-CN"/>
        </w:rPr>
        <w:t>大会发</w:t>
      </w:r>
      <w:r>
        <w:rPr>
          <w:rFonts w:hint="eastAsia" w:ascii="仿宋" w:hAnsi="仿宋" w:eastAsia="仿宋" w:cs="仿宋_GB2312"/>
          <w:sz w:val="28"/>
          <w:szCs w:val="28"/>
          <w:highlight w:val="none"/>
          <w:lang w:val="en-US" w:eastAsia="zh-CN"/>
        </w:rPr>
        <w:t>言</w:t>
      </w:r>
      <w:r>
        <w:rPr>
          <w:rFonts w:hint="eastAsia" w:ascii="仿宋" w:hAnsi="仿宋" w:eastAsia="仿宋" w:cs="仿宋_GB2312"/>
          <w:sz w:val="28"/>
          <w:szCs w:val="28"/>
          <w:highlight w:val="none"/>
          <w:lang w:eastAsia="zh-CN"/>
        </w:rPr>
        <w:t>，</w:t>
      </w:r>
      <w:r>
        <w:rPr>
          <w:rFonts w:hint="eastAsia" w:ascii="仿宋" w:hAnsi="仿宋" w:eastAsia="仿宋" w:cs="仿宋_GB2312"/>
          <w:sz w:val="28"/>
          <w:szCs w:val="28"/>
          <w:highlight w:val="none"/>
          <w:lang w:val="en-US" w:eastAsia="zh-CN"/>
        </w:rPr>
        <w:t>合计32人次</w:t>
      </w:r>
      <w:r>
        <w:rPr>
          <w:rFonts w:hint="eastAsia" w:ascii="仿宋" w:hAnsi="仿宋" w:eastAsia="仿宋" w:cs="仿宋_GB2312"/>
          <w:sz w:val="28"/>
          <w:szCs w:val="28"/>
          <w:highlight w:val="none"/>
          <w:lang w:eastAsia="zh-CN"/>
        </w:rPr>
        <w:t>；</w:t>
      </w:r>
      <w:r>
        <w:rPr>
          <w:rFonts w:hint="eastAsia" w:ascii="仿宋" w:hAnsi="仿宋" w:eastAsia="仿宋" w:cs="仿宋"/>
          <w:sz w:val="28"/>
          <w:szCs w:val="28"/>
          <w:highlight w:val="none"/>
        </w:rPr>
        <w:t>组织中心实验教学创新成果参加第四届四川省</w:t>
      </w:r>
      <w:r>
        <w:rPr>
          <w:rFonts w:hint="eastAsia" w:ascii="仿宋" w:hAnsi="仿宋" w:eastAsia="仿宋" w:cs="仿宋"/>
          <w:sz w:val="28"/>
          <w:szCs w:val="28"/>
        </w:rPr>
        <w:t>教育博览会，推广实验教学改革经验与成果</w:t>
      </w:r>
      <w:r>
        <w:rPr>
          <w:rFonts w:hint="eastAsia" w:ascii="仿宋" w:hAnsi="仿宋" w:eastAsia="仿宋" w:cs="仿宋"/>
          <w:sz w:val="28"/>
          <w:szCs w:val="28"/>
          <w:lang w:eastAsia="zh-CN"/>
        </w:rPr>
        <w:t>。</w:t>
      </w:r>
    </w:p>
    <w:p w14:paraId="28E150BE">
      <w:pPr>
        <w:keepNext w:val="0"/>
        <w:keepLines w:val="0"/>
        <w:pageBreakBefore w:val="0"/>
        <w:kinsoku/>
        <w:wordWrap/>
        <w:overflowPunct/>
        <w:topLinePunct w:val="0"/>
        <w:bidi w:val="0"/>
        <w:adjustRightInd w:val="0"/>
        <w:snapToGrid w:val="0"/>
        <w:spacing w:line="360" w:lineRule="auto"/>
        <w:ind w:firstLine="562" w:firstLineChars="200"/>
        <w:textAlignment w:val="auto"/>
        <w:rPr>
          <w:rFonts w:hint="eastAsia" w:ascii="仿宋" w:hAnsi="仿宋" w:eastAsia="仿宋" w:cs="仿宋_GB2312"/>
          <w:sz w:val="28"/>
          <w:szCs w:val="28"/>
          <w:lang w:eastAsia="zh-CN"/>
        </w:rPr>
      </w:pPr>
      <w:r>
        <w:rPr>
          <w:rFonts w:hint="eastAsia" w:ascii="仿宋" w:hAnsi="仿宋" w:eastAsia="仿宋" w:cs="仿宋_GB2312"/>
          <w:b/>
          <w:bCs/>
          <w:sz w:val="28"/>
          <w:szCs w:val="28"/>
        </w:rPr>
        <w:t>2.教学帮扶与资源共享</w:t>
      </w:r>
      <w:r>
        <w:rPr>
          <w:rFonts w:hint="eastAsia" w:ascii="仿宋" w:hAnsi="仿宋" w:eastAsia="仿宋" w:cs="仿宋_GB2312"/>
          <w:sz w:val="28"/>
          <w:szCs w:val="28"/>
        </w:rPr>
        <w:t>：接收西藏大学等3</w:t>
      </w:r>
      <w:r>
        <w:rPr>
          <w:rFonts w:hint="eastAsia" w:ascii="仿宋" w:hAnsi="仿宋" w:eastAsia="仿宋" w:cs="仿宋_GB2312"/>
          <w:sz w:val="28"/>
          <w:szCs w:val="28"/>
          <w:highlight w:val="none"/>
        </w:rPr>
        <w:t>所西部高校合计18名学生来中</w:t>
      </w:r>
      <w:r>
        <w:rPr>
          <w:rFonts w:hint="eastAsia" w:ascii="仿宋" w:hAnsi="仿宋" w:eastAsia="仿宋" w:cs="仿宋_GB2312"/>
          <w:sz w:val="28"/>
          <w:szCs w:val="28"/>
        </w:rPr>
        <w:t>心交流学习；同西南医科大学附属医院等15家单位签订教学资源共享协议书</w:t>
      </w:r>
      <w:r>
        <w:rPr>
          <w:rFonts w:hint="eastAsia" w:ascii="仿宋" w:hAnsi="仿宋" w:eastAsia="仿宋" w:cs="仿宋_GB2312"/>
          <w:sz w:val="28"/>
          <w:szCs w:val="28"/>
          <w:lang w:eastAsia="zh-CN"/>
        </w:rPr>
        <w:t>。</w:t>
      </w:r>
    </w:p>
    <w:p w14:paraId="42C34037">
      <w:pPr>
        <w:keepNext w:val="0"/>
        <w:keepLines w:val="0"/>
        <w:pageBreakBefore w:val="0"/>
        <w:widowControl/>
        <w:kinsoku/>
        <w:wordWrap/>
        <w:overflowPunct/>
        <w:topLinePunct w:val="0"/>
        <w:autoSpaceDE/>
        <w:autoSpaceDN/>
        <w:bidi w:val="0"/>
        <w:adjustRightInd w:val="0"/>
        <w:snapToGrid w:val="0"/>
        <w:spacing w:line="360" w:lineRule="auto"/>
        <w:ind w:firstLine="562" w:firstLineChars="200"/>
        <w:textAlignment w:val="auto"/>
        <w:rPr>
          <w:rFonts w:hint="default" w:ascii="仿宋" w:hAnsi="仿宋" w:eastAsia="仿宋" w:cs="仿宋_GB2312"/>
          <w:sz w:val="28"/>
          <w:szCs w:val="28"/>
          <w:lang w:val="en-US" w:eastAsia="zh-CN"/>
        </w:rPr>
      </w:pPr>
      <w:r>
        <w:rPr>
          <w:rFonts w:hint="eastAsia" w:ascii="仿宋" w:hAnsi="仿宋" w:eastAsia="仿宋" w:cs="仿宋_GB2312"/>
          <w:b/>
          <w:bCs/>
          <w:sz w:val="28"/>
          <w:szCs w:val="28"/>
          <w:lang w:val="en-US" w:eastAsia="zh-CN"/>
        </w:rPr>
        <w:t>3.举办会议和活动：</w:t>
      </w:r>
      <w:r>
        <w:rPr>
          <w:rFonts w:hint="eastAsia" w:ascii="仿宋" w:hAnsi="仿宋" w:eastAsia="仿宋" w:cs="仿宋_GB2312"/>
          <w:sz w:val="28"/>
          <w:szCs w:val="28"/>
          <w:lang w:val="en-US" w:eastAsia="zh-CN"/>
        </w:rPr>
        <w:t>中心本年度共举办“2024年国际牙科研究协会（IADR）中国分会年会”、“2024年度国际课程周（UIP）暨亚洲校园（Campus Asia Plus）联合学术会”等6次大型会议；承办“四川省大学生口腔临床技能大赛”、“‘挑战杯’四川大学2023-2024年度学生课外学术科技活动节之模拟诊所大赛”、“‘挑战杯’四川大学2023-2024年度学生课外学术科技活动节之创意雕刻大赛”3次赛事活动。</w:t>
      </w:r>
    </w:p>
    <w:p w14:paraId="6536C4A8">
      <w:pPr>
        <w:keepNext w:val="0"/>
        <w:keepLines w:val="0"/>
        <w:pageBreakBefore w:val="0"/>
        <w:kinsoku/>
        <w:wordWrap/>
        <w:overflowPunct/>
        <w:topLinePunct w:val="0"/>
        <w:bidi w:val="0"/>
        <w:ind w:firstLine="560" w:firstLineChars="200"/>
        <w:textAlignment w:val="auto"/>
        <w:rPr>
          <w:rFonts w:hint="eastAsia" w:ascii="黑体" w:hAnsi="黑体" w:eastAsia="黑体" w:cs="仿宋_GB2312"/>
          <w:sz w:val="28"/>
          <w:szCs w:val="28"/>
        </w:rPr>
      </w:pPr>
      <w:r>
        <w:rPr>
          <w:rFonts w:hint="eastAsia" w:ascii="黑体" w:hAnsi="黑体" w:eastAsia="黑体" w:cs="仿宋_GB2312"/>
          <w:sz w:val="28"/>
          <w:szCs w:val="28"/>
        </w:rPr>
        <w:t>五、示范中心大事记</w:t>
      </w:r>
    </w:p>
    <w:p w14:paraId="46255A90">
      <w:pPr>
        <w:keepNext w:val="0"/>
        <w:keepLines w:val="0"/>
        <w:pageBreakBefore w:val="0"/>
        <w:kinsoku/>
        <w:wordWrap/>
        <w:overflowPunct/>
        <w:topLinePunct w:val="0"/>
        <w:bidi w:val="0"/>
        <w:ind w:firstLine="560" w:firstLineChars="200"/>
        <w:textAlignment w:val="auto"/>
        <w:rPr>
          <w:rFonts w:hint="eastAsia" w:ascii="楷体" w:hAnsi="楷体" w:eastAsia="楷体" w:cs="仿宋_GB2312"/>
          <w:sz w:val="28"/>
          <w:szCs w:val="28"/>
        </w:rPr>
      </w:pPr>
      <w:r>
        <w:rPr>
          <w:rFonts w:hint="eastAsia" w:ascii="楷体" w:hAnsi="楷体" w:eastAsia="楷体" w:cs="仿宋_GB2312"/>
          <w:sz w:val="28"/>
          <w:szCs w:val="28"/>
        </w:rPr>
        <w:t>（一）有关媒体对示范中心的重要评价，附相应文字和图片资料。</w:t>
      </w:r>
    </w:p>
    <w:p w14:paraId="5F7C64A9">
      <w:pPr>
        <w:keepNext w:val="0"/>
        <w:keepLines w:val="0"/>
        <w:pageBreakBefore w:val="0"/>
        <w:widowControl w:val="0"/>
        <w:kinsoku/>
        <w:wordWrap/>
        <w:overflowPunct/>
        <w:topLinePunct w:val="0"/>
        <w:bidi w:val="0"/>
        <w:adjustRightInd w:val="0"/>
        <w:snapToGrid w:val="0"/>
        <w:spacing w:line="360" w:lineRule="auto"/>
        <w:ind w:firstLine="562" w:firstLineChars="200"/>
        <w:textAlignment w:val="auto"/>
        <w:rPr>
          <w:rFonts w:hint="eastAsia" w:ascii="楷体" w:hAnsi="楷体" w:eastAsia="楷体" w:cs="楷体"/>
          <w:b/>
          <w:bCs/>
          <w:sz w:val="28"/>
          <w:szCs w:val="32"/>
        </w:rPr>
      </w:pPr>
      <w:r>
        <w:rPr>
          <w:rFonts w:hint="eastAsia" w:ascii="楷体" w:hAnsi="楷体" w:eastAsia="楷体" w:cs="楷体"/>
          <w:b/>
          <w:bCs/>
          <w:sz w:val="28"/>
          <w:szCs w:val="32"/>
        </w:rPr>
        <w:t>1</w:t>
      </w:r>
      <w:r>
        <w:rPr>
          <w:rFonts w:ascii="楷体" w:hAnsi="楷体" w:eastAsia="楷体" w:cs="楷体"/>
          <w:b/>
          <w:bCs/>
          <w:sz w:val="28"/>
          <w:szCs w:val="32"/>
        </w:rPr>
        <w:t>.</w:t>
      </w:r>
      <w:r>
        <w:rPr>
          <w:rFonts w:hint="eastAsia" w:ascii="楷体" w:hAnsi="楷体" w:eastAsia="楷体" w:cs="楷体"/>
          <w:b/>
          <w:bCs/>
          <w:sz w:val="28"/>
          <w:szCs w:val="32"/>
        </w:rPr>
        <w:t>中央电视台、四川卫视等媒体报道我院国家级实验教学示范中心</w:t>
      </w:r>
    </w:p>
    <w:p w14:paraId="647B2EDA">
      <w:pPr>
        <w:pStyle w:val="32"/>
        <w:keepNext w:val="0"/>
        <w:keepLines w:val="0"/>
        <w:pageBreakBefore w:val="0"/>
        <w:kinsoku/>
        <w:wordWrap/>
        <w:overflowPunct/>
        <w:topLinePunct w:val="0"/>
        <w:bidi w:val="0"/>
        <w:textAlignment w:val="auto"/>
        <w:rPr>
          <w:rFonts w:hint="default" w:ascii="Times New Roman" w:hAnsi="Times New Roman" w:eastAsia="仿宋" w:cs="Times New Roman"/>
          <w:color w:val="auto"/>
          <w:kern w:val="2"/>
          <w:sz w:val="28"/>
          <w:szCs w:val="28"/>
        </w:rPr>
      </w:pPr>
      <w:r>
        <w:rPr>
          <w:rFonts w:ascii="Times New Roman" w:hAnsi="Times New Roman" w:eastAsia="仿宋" w:cs="Times New Roman"/>
          <w:color w:val="auto"/>
          <w:kern w:val="2"/>
          <w:sz w:val="28"/>
          <w:szCs w:val="28"/>
        </w:rPr>
        <w:t>中央电视台新闻直播间、四川新闻联播等媒体报道我院国家级实验教学示范中心推动实验教学改革，以数字化赋能口腔医学教育，培育卓越口腔医学人才。</w:t>
      </w:r>
    </w:p>
    <w:p w14:paraId="5B14E429">
      <w:pPr>
        <w:pStyle w:val="32"/>
        <w:keepNext w:val="0"/>
        <w:keepLines w:val="0"/>
        <w:pageBreakBefore w:val="0"/>
        <w:kinsoku/>
        <w:wordWrap/>
        <w:overflowPunct/>
        <w:topLinePunct w:val="0"/>
        <w:bidi w:val="0"/>
        <w:ind w:firstLine="0" w:firstLineChars="0"/>
        <w:jc w:val="center"/>
        <w:textAlignment w:val="auto"/>
        <w:rPr>
          <w:rFonts w:hint="default" w:ascii="Times New Roman" w:hAnsi="Times New Roman" w:eastAsia="仿宋" w:cs="Times New Roman"/>
          <w:color w:val="auto"/>
          <w:kern w:val="2"/>
          <w:sz w:val="28"/>
          <w:szCs w:val="28"/>
        </w:rPr>
      </w:pPr>
      <w:r>
        <w:rPr>
          <w:rFonts w:ascii="Times New Roman" w:hAnsi="Times New Roman" w:eastAsia="仿宋" w:cs="Times New Roman"/>
          <w:color w:val="auto"/>
          <w:kern w:val="2"/>
          <w:sz w:val="28"/>
          <w:szCs w:val="28"/>
        </w:rPr>
        <w:drawing>
          <wp:inline distT="0" distB="0" distL="114300" distR="114300">
            <wp:extent cx="3546475" cy="3014345"/>
            <wp:effectExtent l="0" t="0" r="15875" b="14605"/>
            <wp:docPr id="1" name="图片 1"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图片1"/>
                    <pic:cNvPicPr>
                      <a:picLocks noChangeAspect="1"/>
                    </pic:cNvPicPr>
                  </pic:nvPicPr>
                  <pic:blipFill>
                    <a:blip r:embed="rId5"/>
                    <a:stretch>
                      <a:fillRect/>
                    </a:stretch>
                  </pic:blipFill>
                  <pic:spPr>
                    <a:xfrm>
                      <a:off x="0" y="0"/>
                      <a:ext cx="3546475" cy="3014345"/>
                    </a:xfrm>
                    <a:prstGeom prst="rect">
                      <a:avLst/>
                    </a:prstGeom>
                  </pic:spPr>
                </pic:pic>
              </a:graphicData>
            </a:graphic>
          </wp:inline>
        </w:drawing>
      </w:r>
    </w:p>
    <w:p w14:paraId="24982B37">
      <w:pPr>
        <w:keepNext w:val="0"/>
        <w:keepLines w:val="0"/>
        <w:pageBreakBefore w:val="0"/>
        <w:widowControl w:val="0"/>
        <w:kinsoku/>
        <w:wordWrap/>
        <w:overflowPunct/>
        <w:topLinePunct w:val="0"/>
        <w:bidi w:val="0"/>
        <w:adjustRightInd w:val="0"/>
        <w:snapToGrid w:val="0"/>
        <w:spacing w:line="360" w:lineRule="auto"/>
        <w:ind w:firstLine="562" w:firstLineChars="200"/>
        <w:textAlignment w:val="auto"/>
        <w:rPr>
          <w:rFonts w:hint="eastAsia" w:ascii="楷体" w:hAnsi="楷体" w:eastAsia="楷体" w:cs="楷体"/>
          <w:b/>
          <w:bCs/>
          <w:sz w:val="28"/>
          <w:szCs w:val="32"/>
        </w:rPr>
      </w:pPr>
      <w:r>
        <w:rPr>
          <w:rFonts w:hint="eastAsia" w:ascii="楷体" w:hAnsi="楷体" w:eastAsia="楷体" w:cs="楷体"/>
          <w:b/>
          <w:bCs/>
          <w:sz w:val="28"/>
          <w:szCs w:val="32"/>
        </w:rPr>
        <w:t>2.【光明日报】四川大学华西口腔医学院：数字化技术支撑实验 教学生态重构</w:t>
      </w:r>
    </w:p>
    <w:p w14:paraId="2DAA03CD">
      <w:pPr>
        <w:keepNext w:val="0"/>
        <w:keepLines w:val="0"/>
        <w:pageBreakBefore w:val="0"/>
        <w:widowControl w:val="0"/>
        <w:kinsoku/>
        <w:wordWrap/>
        <w:overflowPunct/>
        <w:topLinePunct w:val="0"/>
        <w:bidi w:val="0"/>
        <w:adjustRightInd w:val="0"/>
        <w:snapToGrid w:val="0"/>
        <w:spacing w:line="360" w:lineRule="auto"/>
        <w:ind w:firstLine="560" w:firstLineChars="200"/>
        <w:jc w:val="both"/>
        <w:textAlignment w:val="auto"/>
        <w:rPr>
          <w:rFonts w:ascii="Times New Roman" w:hAnsi="Times New Roman" w:eastAsia="仿宋" w:cs="Times New Roman"/>
          <w:kern w:val="2"/>
          <w:sz w:val="28"/>
          <w:szCs w:val="28"/>
        </w:rPr>
      </w:pPr>
      <w:r>
        <w:rPr>
          <w:rFonts w:hint="eastAsia" w:ascii="Times New Roman" w:hAnsi="Times New Roman" w:eastAsia="仿宋" w:cs="Times New Roman"/>
          <w:kern w:val="2"/>
          <w:sz w:val="28"/>
          <w:szCs w:val="28"/>
        </w:rPr>
        <w:t>围绕我中心实验教学改革和平台建设成效，光明日报于2</w:t>
      </w:r>
      <w:r>
        <w:rPr>
          <w:rFonts w:ascii="Times New Roman" w:hAnsi="Times New Roman" w:eastAsia="仿宋" w:cs="Times New Roman"/>
          <w:kern w:val="2"/>
          <w:sz w:val="28"/>
          <w:szCs w:val="28"/>
        </w:rPr>
        <w:t>月</w:t>
      </w:r>
      <w:r>
        <w:rPr>
          <w:rFonts w:hint="eastAsia" w:ascii="Times New Roman" w:hAnsi="Times New Roman" w:eastAsia="仿宋" w:cs="Times New Roman"/>
          <w:kern w:val="2"/>
          <w:sz w:val="28"/>
          <w:szCs w:val="28"/>
        </w:rPr>
        <w:t>2日发表题为“四川大学华西口腔医学院：数字化技术支撑实验教学生态重构”的报道。</w:t>
      </w:r>
    </w:p>
    <w:p w14:paraId="06220621">
      <w:pPr>
        <w:pStyle w:val="32"/>
        <w:keepNext w:val="0"/>
        <w:keepLines w:val="0"/>
        <w:pageBreakBefore w:val="0"/>
        <w:kinsoku/>
        <w:wordWrap/>
        <w:overflowPunct/>
        <w:topLinePunct w:val="0"/>
        <w:bidi w:val="0"/>
        <w:ind w:firstLine="0" w:firstLineChars="0"/>
        <w:jc w:val="center"/>
        <w:textAlignment w:val="auto"/>
        <w:rPr>
          <w:rFonts w:hint="eastAsia" w:ascii="Times New Roman" w:hAnsi="Times New Roman" w:cs="Times New Roman" w:eastAsiaTheme="minorEastAsia"/>
          <w:color w:val="auto"/>
          <w:kern w:val="2"/>
          <w:sz w:val="28"/>
          <w:szCs w:val="28"/>
          <w:lang w:eastAsia="zh-CN"/>
        </w:rPr>
      </w:pPr>
      <w:r>
        <mc:AlternateContent>
          <mc:Choice Requires="wps">
            <w:drawing>
              <wp:inline distT="0" distB="0" distL="0" distR="0">
                <wp:extent cx="302260" cy="302260"/>
                <wp:effectExtent l="0" t="0" r="0" b="0"/>
                <wp:docPr id="3" name="矩形 3" descr="https://szfilehelper.weixin.qq.com/cgi-bin/mmwebwx-bin/webwxgetmsgimg??&amp;MsgID=3099371711648008183&amp;skey=@crypt_3a8c4462_e8480396444c73c2a395892776719680&amp;mmweb_appid=wx_webfilehelpe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2260" cy="302260"/>
                        </a:xfrm>
                        <a:prstGeom prst="rect">
                          <a:avLst/>
                        </a:prstGeom>
                        <a:noFill/>
                        <a:ln>
                          <a:noFill/>
                        </a:ln>
                      </wps:spPr>
                      <wps:bodyPr rot="0" vert="horz" wrap="square" lIns="91440" tIns="45720" rIns="91440" bIns="45720" anchor="t" anchorCtr="0" upright="1">
                        <a:noAutofit/>
                      </wps:bodyPr>
                    </wps:wsp>
                  </a:graphicData>
                </a:graphic>
              </wp:inline>
            </w:drawing>
          </mc:Choice>
          <mc:Fallback>
            <w:pict>
              <v:rect id="_x0000_s1026" o:spid="_x0000_s1026" o:spt="1" alt="https://szfilehelper.weixin.qq.com/cgi-bin/mmwebwx-bin/webwxgetmsgimg??&amp;MsgID=3099371711648008183&amp;skey=@crypt_3a8c4462_e8480396444c73c2a395892776719680&amp;mmweb_appid=wx_webfilehelper" style="height:23.8pt;width:23.8pt;" filled="f" stroked="f" coordsize="21600,21600" o:gfxdata="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">
                <v:fill on="f" focussize="0,0"/>
                <v:stroke on="f"/>
                <v:imagedata o:title=""/>
                <o:lock v:ext="edit" aspectratio="t"/>
                <w10:wrap type="none"/>
                <w10:anchorlock/>
              </v:rect>
            </w:pict>
          </mc:Fallback>
        </mc:AlternateContent>
      </w:r>
      <w:r>
        <w:t xml:space="preserve"> </w:t>
      </w:r>
      <w:r>
        <w:rPr>
          <w:rFonts w:hint="eastAsia" w:ascii="Times New Roman" w:hAnsi="Times New Roman" w:cs="Times New Roman" w:eastAsiaTheme="minorEastAsia"/>
          <w:color w:val="auto"/>
          <w:kern w:val="2"/>
          <w:sz w:val="28"/>
          <w:szCs w:val="28"/>
          <w:lang w:eastAsia="zh-CN"/>
        </w:rPr>
        <w:drawing>
          <wp:inline distT="0" distB="0" distL="114300" distR="114300">
            <wp:extent cx="2366645" cy="3647440"/>
            <wp:effectExtent l="0" t="0" r="10795" b="10160"/>
            <wp:docPr id="5" name="图片 5" descr="微信图片_202506180938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微信图片_20250618093850"/>
                    <pic:cNvPicPr>
                      <a:picLocks noChangeAspect="1"/>
                    </pic:cNvPicPr>
                  </pic:nvPicPr>
                  <pic:blipFill>
                    <a:blip r:embed="rId6"/>
                    <a:stretch>
                      <a:fillRect/>
                    </a:stretch>
                  </pic:blipFill>
                  <pic:spPr>
                    <a:xfrm>
                      <a:off x="0" y="0"/>
                      <a:ext cx="2366645" cy="3647440"/>
                    </a:xfrm>
                    <a:prstGeom prst="rect">
                      <a:avLst/>
                    </a:prstGeom>
                  </pic:spPr>
                </pic:pic>
              </a:graphicData>
            </a:graphic>
          </wp:inline>
        </w:drawing>
      </w:r>
    </w:p>
    <w:p w14:paraId="27791A88">
      <w:pPr>
        <w:pStyle w:val="32"/>
        <w:keepNext w:val="0"/>
        <w:keepLines w:val="0"/>
        <w:pageBreakBefore w:val="0"/>
        <w:kinsoku/>
        <w:wordWrap/>
        <w:overflowPunct/>
        <w:topLinePunct w:val="0"/>
        <w:bidi w:val="0"/>
        <w:ind w:firstLine="0" w:firstLineChars="0"/>
        <w:jc w:val="center"/>
        <w:textAlignment w:val="auto"/>
        <w:rPr>
          <w:rFonts w:hint="default" w:ascii="Times New Roman" w:hAnsi="Times New Roman" w:eastAsia="仿宋" w:cs="Times New Roman"/>
          <w:color w:val="auto"/>
          <w:kern w:val="2"/>
          <w:sz w:val="28"/>
          <w:szCs w:val="28"/>
        </w:rPr>
      </w:pPr>
    </w:p>
    <w:p w14:paraId="186C73C2">
      <w:pPr>
        <w:pStyle w:val="32"/>
        <w:keepNext w:val="0"/>
        <w:keepLines w:val="0"/>
        <w:pageBreakBefore w:val="0"/>
        <w:kinsoku/>
        <w:wordWrap/>
        <w:overflowPunct/>
        <w:topLinePunct w:val="0"/>
        <w:bidi w:val="0"/>
        <w:ind w:firstLine="0" w:firstLineChars="0"/>
        <w:jc w:val="center"/>
        <w:textAlignment w:val="auto"/>
        <w:rPr>
          <w:rFonts w:hint="default" w:ascii="Times New Roman" w:hAnsi="Times New Roman" w:eastAsia="仿宋" w:cs="Times New Roman"/>
          <w:color w:val="auto"/>
          <w:kern w:val="2"/>
          <w:sz w:val="28"/>
          <w:szCs w:val="28"/>
        </w:rPr>
      </w:pPr>
    </w:p>
    <w:p w14:paraId="1DCAC508">
      <w:pPr>
        <w:keepNext w:val="0"/>
        <w:keepLines w:val="0"/>
        <w:pageBreakBefore w:val="0"/>
        <w:numPr>
          <w:ilvl w:val="0"/>
          <w:numId w:val="3"/>
        </w:numPr>
        <w:kinsoku/>
        <w:wordWrap/>
        <w:overflowPunct/>
        <w:topLinePunct w:val="0"/>
        <w:bidi w:val="0"/>
        <w:ind w:firstLine="560" w:firstLineChars="200"/>
        <w:textAlignment w:val="auto"/>
        <w:rPr>
          <w:rFonts w:hint="eastAsia" w:ascii="楷体" w:hAnsi="楷体" w:eastAsia="楷体" w:cs="仿宋_GB2312"/>
          <w:sz w:val="28"/>
          <w:szCs w:val="28"/>
        </w:rPr>
      </w:pPr>
      <w:r>
        <w:rPr>
          <w:rFonts w:hint="eastAsia" w:ascii="楷体" w:hAnsi="楷体" w:eastAsia="楷体" w:cs="仿宋_GB2312"/>
          <w:sz w:val="28"/>
          <w:szCs w:val="28"/>
        </w:rPr>
        <w:t>省部级以上领导同志视察示范中心的图片及说明等</w:t>
      </w:r>
    </w:p>
    <w:p w14:paraId="3C574DE9">
      <w:pPr>
        <w:keepNext w:val="0"/>
        <w:keepLines w:val="0"/>
        <w:pageBreakBefore w:val="0"/>
        <w:widowControl w:val="0"/>
        <w:kinsoku/>
        <w:wordWrap/>
        <w:overflowPunct/>
        <w:topLinePunct w:val="0"/>
        <w:bidi w:val="0"/>
        <w:adjustRightInd w:val="0"/>
        <w:snapToGrid w:val="0"/>
        <w:spacing w:line="360" w:lineRule="auto"/>
        <w:ind w:firstLine="562" w:firstLineChars="200"/>
        <w:textAlignment w:val="auto"/>
        <w:rPr>
          <w:rFonts w:hint="default" w:ascii="楷体" w:hAnsi="楷体" w:eastAsia="楷体" w:cs="楷体"/>
          <w:b/>
          <w:bCs/>
          <w:sz w:val="28"/>
          <w:szCs w:val="32"/>
          <w:lang w:val="en-US" w:eastAsia="zh-CN"/>
        </w:rPr>
      </w:pPr>
      <w:r>
        <w:rPr>
          <w:rFonts w:hint="eastAsia" w:ascii="楷体" w:hAnsi="楷体" w:eastAsia="楷体" w:cs="楷体"/>
          <w:b/>
          <w:bCs/>
          <w:sz w:val="28"/>
          <w:szCs w:val="32"/>
          <w:lang w:val="en-US" w:eastAsia="zh-CN"/>
        </w:rPr>
        <w:t>顺利完成</w:t>
      </w:r>
      <w:r>
        <w:rPr>
          <w:rFonts w:hint="eastAsia" w:ascii="楷体" w:hAnsi="楷体" w:eastAsia="楷体" w:cs="楷体"/>
          <w:b/>
          <w:bCs/>
          <w:sz w:val="28"/>
          <w:szCs w:val="32"/>
        </w:rPr>
        <w:t>教育部高等教育司来院调研</w:t>
      </w:r>
      <w:r>
        <w:rPr>
          <w:rFonts w:hint="eastAsia" w:ascii="楷体" w:hAnsi="楷体" w:eastAsia="楷体" w:cs="楷体"/>
          <w:b/>
          <w:bCs/>
          <w:sz w:val="28"/>
          <w:szCs w:val="32"/>
          <w:lang w:val="en-US" w:eastAsia="zh-CN"/>
        </w:rPr>
        <w:t>走访工作</w:t>
      </w:r>
    </w:p>
    <w:p w14:paraId="09D83AED">
      <w:pPr>
        <w:pStyle w:val="32"/>
        <w:keepNext w:val="0"/>
        <w:keepLines w:val="0"/>
        <w:pageBreakBefore w:val="0"/>
        <w:kinsoku/>
        <w:wordWrap/>
        <w:overflowPunct/>
        <w:topLinePunct w:val="0"/>
        <w:bidi w:val="0"/>
        <w:textAlignment w:val="auto"/>
        <w:rPr>
          <w:rFonts w:hint="default" w:ascii="Times New Roman" w:hAnsi="Times New Roman" w:eastAsia="仿宋" w:cs="Times New Roman"/>
          <w:color w:val="auto"/>
          <w:kern w:val="2"/>
          <w:sz w:val="28"/>
          <w:szCs w:val="28"/>
        </w:rPr>
      </w:pPr>
      <w:r>
        <w:rPr>
          <w:rFonts w:hint="default" w:ascii="Times New Roman" w:hAnsi="Times New Roman" w:eastAsia="仿宋" w:cs="Times New Roman"/>
          <w:color w:val="auto"/>
          <w:kern w:val="2"/>
          <w:sz w:val="28"/>
          <w:szCs w:val="28"/>
        </w:rPr>
        <w:t>4月26日，教育部高教司副司长高斌一行莅临我院，</w:t>
      </w:r>
      <w:r>
        <w:rPr>
          <w:rFonts w:hint="eastAsia" w:ascii="Times New Roman" w:hAnsi="Times New Roman" w:eastAsia="仿宋" w:cs="Times New Roman"/>
          <w:color w:val="auto"/>
          <w:kern w:val="2"/>
          <w:sz w:val="28"/>
          <w:szCs w:val="28"/>
          <w:lang w:val="en-US" w:eastAsia="zh-CN"/>
        </w:rPr>
        <w:t>走访了</w:t>
      </w:r>
      <w:r>
        <w:rPr>
          <w:rFonts w:hint="default" w:ascii="Times New Roman" w:hAnsi="Times New Roman" w:eastAsia="仿宋" w:cs="Times New Roman"/>
          <w:color w:val="auto"/>
          <w:kern w:val="2"/>
          <w:sz w:val="28"/>
          <w:szCs w:val="28"/>
        </w:rPr>
        <w:t>我院国家级虚拟仿真实验教学中心，</w:t>
      </w:r>
      <w:r>
        <w:rPr>
          <w:rFonts w:hint="eastAsia" w:ascii="Times New Roman" w:hAnsi="Times New Roman" w:eastAsia="仿宋" w:cs="Times New Roman"/>
          <w:color w:val="auto"/>
          <w:kern w:val="2"/>
          <w:sz w:val="28"/>
          <w:szCs w:val="28"/>
          <w:lang w:val="en-US" w:eastAsia="zh-CN"/>
        </w:rPr>
        <w:t>围绕</w:t>
      </w:r>
      <w:r>
        <w:rPr>
          <w:rFonts w:hint="default" w:ascii="Times New Roman" w:hAnsi="Times New Roman" w:eastAsia="仿宋" w:cs="Times New Roman"/>
          <w:color w:val="auto"/>
          <w:kern w:val="2"/>
          <w:sz w:val="28"/>
          <w:szCs w:val="28"/>
        </w:rPr>
        <w:t>虚拟仿真实验教学</w:t>
      </w:r>
      <w:r>
        <w:rPr>
          <w:rFonts w:hint="eastAsia" w:ascii="Times New Roman" w:hAnsi="Times New Roman" w:eastAsia="仿宋" w:cs="Times New Roman"/>
          <w:color w:val="auto"/>
          <w:kern w:val="2"/>
          <w:sz w:val="28"/>
          <w:szCs w:val="28"/>
          <w:lang w:val="en-US" w:eastAsia="zh-CN"/>
        </w:rPr>
        <w:t>提质升级</w:t>
      </w:r>
      <w:r>
        <w:rPr>
          <w:rFonts w:hint="default" w:ascii="Times New Roman" w:hAnsi="Times New Roman" w:eastAsia="仿宋" w:cs="Times New Roman"/>
          <w:color w:val="auto"/>
          <w:kern w:val="2"/>
          <w:sz w:val="28"/>
          <w:szCs w:val="28"/>
        </w:rPr>
        <w:t>提出了宝贵的建议与意见。</w:t>
      </w:r>
    </w:p>
    <w:p w14:paraId="18B95749">
      <w:pPr>
        <w:pStyle w:val="32"/>
        <w:keepNext w:val="0"/>
        <w:keepLines w:val="0"/>
        <w:pageBreakBefore w:val="0"/>
        <w:kinsoku/>
        <w:wordWrap/>
        <w:overflowPunct/>
        <w:topLinePunct w:val="0"/>
        <w:bidi w:val="0"/>
        <w:ind w:firstLine="0" w:firstLineChars="0"/>
        <w:jc w:val="center"/>
        <w:textAlignment w:val="auto"/>
        <w:rPr>
          <w:rFonts w:hint="default" w:ascii="Times New Roman" w:hAnsi="Times New Roman" w:eastAsia="仿宋" w:cs="Times New Roman"/>
          <w:color w:val="auto"/>
          <w:kern w:val="2"/>
          <w:sz w:val="28"/>
          <w:szCs w:val="28"/>
        </w:rPr>
      </w:pPr>
      <w:r>
        <w:rPr>
          <w:rFonts w:hint="default" w:ascii="Times New Roman" w:hAnsi="Times New Roman" w:eastAsia="仿宋" w:cs="Times New Roman"/>
          <w:color w:val="auto"/>
          <w:kern w:val="2"/>
          <w:sz w:val="28"/>
          <w:szCs w:val="28"/>
        </w:rPr>
        <w:drawing>
          <wp:inline distT="0" distB="0" distL="114300" distR="114300">
            <wp:extent cx="2178685" cy="1452880"/>
            <wp:effectExtent l="0" t="0" r="12065" b="13970"/>
            <wp:docPr id="10" name="图片 10" descr="3063850086231603309013055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306385008623160330901305539"/>
                    <pic:cNvPicPr>
                      <a:picLocks noChangeAspect="1"/>
                    </pic:cNvPicPr>
                  </pic:nvPicPr>
                  <pic:blipFill>
                    <a:blip r:embed="rId7"/>
                    <a:stretch>
                      <a:fillRect/>
                    </a:stretch>
                  </pic:blipFill>
                  <pic:spPr>
                    <a:xfrm>
                      <a:off x="0" y="0"/>
                      <a:ext cx="2178685" cy="1452880"/>
                    </a:xfrm>
                    <a:prstGeom prst="rect">
                      <a:avLst/>
                    </a:prstGeom>
                  </pic:spPr>
                </pic:pic>
              </a:graphicData>
            </a:graphic>
          </wp:inline>
        </w:drawing>
      </w:r>
      <w:r>
        <w:rPr>
          <w:rFonts w:ascii="Times New Roman" w:hAnsi="Times New Roman" w:eastAsia="仿宋" w:cs="Times New Roman"/>
          <w:color w:val="auto"/>
          <w:kern w:val="2"/>
          <w:sz w:val="28"/>
          <w:szCs w:val="28"/>
        </w:rPr>
        <w:t xml:space="preserve"> </w:t>
      </w:r>
      <w:r>
        <w:rPr>
          <w:rFonts w:hint="default" w:ascii="Times New Roman" w:hAnsi="Times New Roman" w:eastAsia="仿宋" w:cs="Times New Roman"/>
          <w:color w:val="auto"/>
          <w:kern w:val="2"/>
          <w:sz w:val="28"/>
          <w:szCs w:val="28"/>
        </w:rPr>
        <w:drawing>
          <wp:inline distT="0" distB="0" distL="114300" distR="114300">
            <wp:extent cx="2308860" cy="1457325"/>
            <wp:effectExtent l="0" t="0" r="15240" b="9525"/>
            <wp:docPr id="11" name="图片 11" descr="3063850086840440475826593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306385008684044047582659364"/>
                    <pic:cNvPicPr>
                      <a:picLocks noChangeAspect="1"/>
                    </pic:cNvPicPr>
                  </pic:nvPicPr>
                  <pic:blipFill>
                    <a:blip r:embed="rId8"/>
                    <a:stretch>
                      <a:fillRect/>
                    </a:stretch>
                  </pic:blipFill>
                  <pic:spPr>
                    <a:xfrm>
                      <a:off x="0" y="0"/>
                      <a:ext cx="2308860" cy="1457325"/>
                    </a:xfrm>
                    <a:prstGeom prst="rect">
                      <a:avLst/>
                    </a:prstGeom>
                  </pic:spPr>
                </pic:pic>
              </a:graphicData>
            </a:graphic>
          </wp:inline>
        </w:drawing>
      </w:r>
    </w:p>
    <w:p w14:paraId="15CCD353">
      <w:pPr>
        <w:keepNext w:val="0"/>
        <w:keepLines w:val="0"/>
        <w:pageBreakBefore w:val="0"/>
        <w:kinsoku/>
        <w:wordWrap/>
        <w:overflowPunct/>
        <w:topLinePunct w:val="0"/>
        <w:bidi w:val="0"/>
        <w:ind w:firstLine="560" w:firstLineChars="200"/>
        <w:textAlignment w:val="auto"/>
        <w:rPr>
          <w:rFonts w:hint="eastAsia" w:ascii="楷体" w:hAnsi="楷体" w:eastAsia="楷体" w:cs="仿宋_GB2312"/>
          <w:sz w:val="28"/>
          <w:szCs w:val="28"/>
        </w:rPr>
      </w:pPr>
      <w:r>
        <w:rPr>
          <w:rFonts w:hint="eastAsia" w:ascii="楷体" w:hAnsi="楷体" w:eastAsia="楷体" w:cs="仿宋_GB2312"/>
          <w:sz w:val="28"/>
          <w:szCs w:val="28"/>
        </w:rPr>
        <w:t>（三）其它对示范中心发展有重大影响的活动等</w:t>
      </w:r>
    </w:p>
    <w:p w14:paraId="36325658">
      <w:pPr>
        <w:keepNext w:val="0"/>
        <w:keepLines w:val="0"/>
        <w:pageBreakBefore w:val="0"/>
        <w:widowControl w:val="0"/>
        <w:kinsoku/>
        <w:wordWrap/>
        <w:overflowPunct/>
        <w:topLinePunct w:val="0"/>
        <w:bidi w:val="0"/>
        <w:adjustRightInd w:val="0"/>
        <w:snapToGrid w:val="0"/>
        <w:spacing w:line="360" w:lineRule="auto"/>
        <w:ind w:firstLine="562" w:firstLineChars="200"/>
        <w:textAlignment w:val="auto"/>
        <w:rPr>
          <w:rFonts w:hint="eastAsia" w:ascii="楷体" w:hAnsi="楷体" w:eastAsia="楷体" w:cs="楷体"/>
          <w:b/>
          <w:bCs/>
          <w:sz w:val="28"/>
          <w:szCs w:val="32"/>
        </w:rPr>
      </w:pPr>
      <w:r>
        <w:rPr>
          <w:rFonts w:ascii="楷体" w:hAnsi="楷体" w:eastAsia="楷体" w:cs="楷体"/>
          <w:b/>
          <w:bCs/>
          <w:sz w:val="28"/>
          <w:szCs w:val="32"/>
        </w:rPr>
        <w:t>1</w:t>
      </w:r>
      <w:r>
        <w:rPr>
          <w:rFonts w:hint="eastAsia" w:ascii="楷体" w:hAnsi="楷体" w:eastAsia="楷体" w:cs="楷体"/>
          <w:b/>
          <w:bCs/>
          <w:sz w:val="28"/>
          <w:szCs w:val="32"/>
        </w:rPr>
        <w:t>.“华西口腔医学虚拟仿真技能培训实验中心”入选教育部高等学校虚拟仿真教学创新实验项目</w:t>
      </w:r>
    </w:p>
    <w:p w14:paraId="06504E56">
      <w:pPr>
        <w:pStyle w:val="32"/>
        <w:keepNext w:val="0"/>
        <w:keepLines w:val="0"/>
        <w:pageBreakBefore w:val="0"/>
        <w:kinsoku/>
        <w:wordWrap/>
        <w:overflowPunct/>
        <w:topLinePunct w:val="0"/>
        <w:bidi w:val="0"/>
        <w:textAlignment w:val="auto"/>
        <w:rPr>
          <w:rFonts w:hint="default" w:ascii="Times New Roman" w:hAnsi="Times New Roman" w:eastAsia="仿宋" w:cs="Times New Roman"/>
          <w:color w:val="auto"/>
          <w:kern w:val="2"/>
          <w:sz w:val="28"/>
          <w:szCs w:val="28"/>
        </w:rPr>
      </w:pPr>
      <w:r>
        <w:rPr>
          <w:rFonts w:hint="default" w:ascii="Times New Roman" w:hAnsi="Times New Roman" w:eastAsia="仿宋" w:cs="Times New Roman"/>
          <w:color w:val="auto"/>
          <w:kern w:val="2"/>
          <w:sz w:val="28"/>
          <w:szCs w:val="28"/>
        </w:rPr>
        <w:t>3</w:t>
      </w:r>
      <w:r>
        <w:rPr>
          <w:rFonts w:ascii="Times New Roman" w:hAnsi="Times New Roman" w:eastAsia="仿宋" w:cs="Times New Roman"/>
          <w:color w:val="auto"/>
          <w:kern w:val="2"/>
          <w:sz w:val="28"/>
          <w:szCs w:val="28"/>
        </w:rPr>
        <w:t>月</w:t>
      </w:r>
      <w:r>
        <w:rPr>
          <w:rFonts w:hint="default" w:ascii="Times New Roman" w:hAnsi="Times New Roman" w:eastAsia="仿宋" w:cs="Times New Roman"/>
          <w:color w:val="auto"/>
          <w:kern w:val="2"/>
          <w:sz w:val="28"/>
          <w:szCs w:val="28"/>
        </w:rPr>
        <w:t>29日，教育部教育技术与资源发展中心公布了高等学校虚拟仿真教学创新实验项目学校及案例团队，“华西口腔医学虚拟仿真技能培训实验中心”入选该名单。</w:t>
      </w:r>
    </w:p>
    <w:p w14:paraId="5ACE6361">
      <w:pPr>
        <w:pStyle w:val="32"/>
        <w:keepNext w:val="0"/>
        <w:keepLines w:val="0"/>
        <w:pageBreakBefore w:val="0"/>
        <w:kinsoku/>
        <w:wordWrap/>
        <w:overflowPunct/>
        <w:topLinePunct w:val="0"/>
        <w:bidi w:val="0"/>
        <w:textAlignment w:val="auto"/>
        <w:rPr>
          <w:rFonts w:hint="eastAsia" w:ascii="Times New Roman" w:hAnsi="Times New Roman" w:eastAsia="仿宋" w:cs="Times New Roman"/>
          <w:color w:val="auto"/>
          <w:kern w:val="2"/>
          <w:sz w:val="28"/>
          <w:szCs w:val="28"/>
          <w:lang w:val="en-US" w:eastAsia="zh-CN"/>
        </w:rPr>
      </w:pPr>
      <w:r>
        <w:rPr>
          <w:rFonts w:hint="eastAsia" w:ascii="Times New Roman" w:hAnsi="Times New Roman" w:eastAsia="仿宋" w:cs="Times New Roman"/>
          <w:color w:val="auto"/>
          <w:kern w:val="2"/>
          <w:sz w:val="28"/>
          <w:szCs w:val="28"/>
          <w:lang w:val="en-US" w:eastAsia="zh-CN"/>
        </w:rPr>
        <w:t>6月26日，中心迎接</w:t>
      </w:r>
      <w:r>
        <w:rPr>
          <w:rFonts w:hint="default" w:ascii="Times New Roman" w:hAnsi="Times New Roman" w:eastAsia="仿宋" w:cs="Times New Roman"/>
          <w:color w:val="auto"/>
          <w:kern w:val="2"/>
          <w:sz w:val="28"/>
          <w:szCs w:val="28"/>
        </w:rPr>
        <w:t>教育部教育技术与资源中心专家团队“高等学校虚拟仿真教学创新实验室”项目基线实地调研工作</w:t>
      </w:r>
      <w:r>
        <w:rPr>
          <w:rFonts w:hint="eastAsia" w:ascii="Times New Roman" w:hAnsi="Times New Roman" w:eastAsia="仿宋" w:cs="Times New Roman"/>
          <w:color w:val="auto"/>
          <w:kern w:val="2"/>
          <w:sz w:val="28"/>
          <w:szCs w:val="28"/>
          <w:lang w:eastAsia="zh-CN"/>
        </w:rPr>
        <w:t>，</w:t>
      </w:r>
      <w:r>
        <w:rPr>
          <w:rFonts w:hint="eastAsia" w:ascii="Times New Roman" w:hAnsi="Times New Roman" w:eastAsia="仿宋" w:cs="Times New Roman"/>
          <w:color w:val="auto"/>
          <w:kern w:val="2"/>
          <w:sz w:val="28"/>
          <w:szCs w:val="28"/>
          <w:lang w:val="en-US" w:eastAsia="zh-CN"/>
        </w:rPr>
        <w:t>中心</w:t>
      </w:r>
      <w:r>
        <w:rPr>
          <w:rFonts w:hint="default" w:ascii="Times New Roman" w:hAnsi="Times New Roman" w:eastAsia="仿宋" w:cs="Times New Roman"/>
          <w:color w:val="auto"/>
          <w:kern w:val="2"/>
          <w:sz w:val="28"/>
          <w:szCs w:val="28"/>
        </w:rPr>
        <w:t>虚拟仿真实验室建设应用成效及特色</w:t>
      </w:r>
      <w:r>
        <w:rPr>
          <w:rFonts w:hint="eastAsia" w:ascii="Times New Roman" w:hAnsi="Times New Roman" w:eastAsia="仿宋" w:cs="Times New Roman"/>
          <w:color w:val="auto"/>
          <w:kern w:val="2"/>
          <w:sz w:val="28"/>
          <w:szCs w:val="28"/>
          <w:lang w:val="en-US" w:eastAsia="zh-CN"/>
        </w:rPr>
        <w:t>获得专家一致</w:t>
      </w:r>
      <w:r>
        <w:rPr>
          <w:rFonts w:hint="default" w:ascii="Times New Roman" w:hAnsi="Times New Roman" w:eastAsia="仿宋" w:cs="Times New Roman"/>
          <w:color w:val="auto"/>
          <w:kern w:val="2"/>
          <w:sz w:val="28"/>
          <w:szCs w:val="28"/>
        </w:rPr>
        <w:t>肯定</w:t>
      </w:r>
      <w:r>
        <w:rPr>
          <w:rFonts w:hint="eastAsia" w:ascii="Times New Roman" w:hAnsi="Times New Roman" w:eastAsia="仿宋" w:cs="Times New Roman"/>
          <w:color w:val="auto"/>
          <w:kern w:val="2"/>
          <w:sz w:val="28"/>
          <w:szCs w:val="28"/>
          <w:lang w:eastAsia="zh-CN"/>
        </w:rPr>
        <w:t>。</w:t>
      </w:r>
    </w:p>
    <w:p w14:paraId="7A384639">
      <w:pPr>
        <w:pStyle w:val="32"/>
        <w:keepNext w:val="0"/>
        <w:keepLines w:val="0"/>
        <w:pageBreakBefore w:val="0"/>
        <w:kinsoku/>
        <w:wordWrap/>
        <w:overflowPunct/>
        <w:topLinePunct w:val="0"/>
        <w:bidi w:val="0"/>
        <w:ind w:firstLine="0" w:firstLineChars="0"/>
        <w:jc w:val="center"/>
        <w:textAlignment w:val="auto"/>
      </w:pPr>
      <w:r>
        <w:drawing>
          <wp:inline distT="0" distB="0" distL="114300" distR="114300">
            <wp:extent cx="2302510" cy="1531620"/>
            <wp:effectExtent l="0" t="0" r="2540" b="11430"/>
            <wp:docPr id="8" name="图片 8" descr="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图片 1"/>
                    <pic:cNvPicPr>
                      <a:picLocks noChangeAspect="1"/>
                    </pic:cNvPicPr>
                  </pic:nvPicPr>
                  <pic:blipFill>
                    <a:blip r:embed="rId9"/>
                    <a:stretch>
                      <a:fillRect/>
                    </a:stretch>
                  </pic:blipFill>
                  <pic:spPr>
                    <a:xfrm>
                      <a:off x="0" y="0"/>
                      <a:ext cx="2302510" cy="1531620"/>
                    </a:xfrm>
                    <a:prstGeom prst="rect">
                      <a:avLst/>
                    </a:prstGeom>
                  </pic:spPr>
                </pic:pic>
              </a:graphicData>
            </a:graphic>
          </wp:inline>
        </w:drawing>
      </w:r>
      <w:r>
        <w:t xml:space="preserve"> </w:t>
      </w:r>
      <w:r>
        <w:rPr>
          <w:rFonts w:ascii="宋体" w:hAnsi="宋体" w:eastAsia="宋体" w:cs="宋体"/>
          <w:sz w:val="24"/>
          <w:szCs w:val="24"/>
        </w:rPr>
        <w:drawing>
          <wp:inline distT="0" distB="0" distL="114300" distR="114300">
            <wp:extent cx="2508885" cy="1540510"/>
            <wp:effectExtent l="0" t="0" r="5715" b="2540"/>
            <wp:docPr id="2"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IMG_256"/>
                    <pic:cNvPicPr>
                      <a:picLocks noChangeAspect="1"/>
                    </pic:cNvPicPr>
                  </pic:nvPicPr>
                  <pic:blipFill>
                    <a:blip r:embed="rId10"/>
                    <a:stretch>
                      <a:fillRect/>
                    </a:stretch>
                  </pic:blipFill>
                  <pic:spPr>
                    <a:xfrm>
                      <a:off x="0" y="0"/>
                      <a:ext cx="2508885" cy="1540510"/>
                    </a:xfrm>
                    <a:prstGeom prst="rect">
                      <a:avLst/>
                    </a:prstGeom>
                    <a:noFill/>
                    <a:ln w="9525">
                      <a:noFill/>
                    </a:ln>
                  </pic:spPr>
                </pic:pic>
              </a:graphicData>
            </a:graphic>
          </wp:inline>
        </w:drawing>
      </w:r>
    </w:p>
    <w:p w14:paraId="6148F02C">
      <w:pPr>
        <w:keepNext w:val="0"/>
        <w:keepLines w:val="0"/>
        <w:pageBreakBefore w:val="0"/>
        <w:widowControl w:val="0"/>
        <w:kinsoku/>
        <w:wordWrap/>
        <w:overflowPunct/>
        <w:topLinePunct w:val="0"/>
        <w:bidi w:val="0"/>
        <w:adjustRightInd w:val="0"/>
        <w:snapToGrid w:val="0"/>
        <w:spacing w:line="360" w:lineRule="auto"/>
        <w:ind w:firstLine="562" w:firstLineChars="200"/>
        <w:textAlignment w:val="auto"/>
        <w:rPr>
          <w:rFonts w:hint="eastAsia" w:ascii="楷体" w:hAnsi="楷体" w:eastAsia="楷体" w:cs="楷体"/>
          <w:b/>
          <w:bCs/>
          <w:sz w:val="28"/>
          <w:szCs w:val="32"/>
        </w:rPr>
      </w:pPr>
      <w:r>
        <w:rPr>
          <w:rFonts w:hint="eastAsia" w:ascii="楷体" w:hAnsi="楷体" w:eastAsia="楷体" w:cs="楷体"/>
          <w:b/>
          <w:bCs/>
          <w:sz w:val="28"/>
          <w:szCs w:val="32"/>
          <w:lang w:val="en-US" w:eastAsia="zh-CN"/>
        </w:rPr>
        <w:t>2</w:t>
      </w:r>
      <w:r>
        <w:rPr>
          <w:rFonts w:hint="eastAsia" w:ascii="楷体" w:hAnsi="楷体" w:eastAsia="楷体" w:cs="楷体"/>
          <w:b/>
          <w:bCs/>
          <w:sz w:val="28"/>
          <w:szCs w:val="32"/>
        </w:rPr>
        <w:t>.我院获批教育部实验教学和教学实验室建设研究项目立项</w:t>
      </w:r>
    </w:p>
    <w:p w14:paraId="59E89D71">
      <w:pPr>
        <w:pStyle w:val="32"/>
        <w:keepNext w:val="0"/>
        <w:keepLines w:val="0"/>
        <w:pageBreakBefore w:val="0"/>
        <w:kinsoku/>
        <w:wordWrap/>
        <w:overflowPunct/>
        <w:topLinePunct w:val="0"/>
        <w:bidi w:val="0"/>
        <w:textAlignment w:val="auto"/>
        <w:rPr>
          <w:rFonts w:hint="default" w:ascii="Times New Roman" w:hAnsi="Times New Roman" w:eastAsia="仿宋" w:cs="Times New Roman"/>
          <w:color w:val="auto"/>
          <w:kern w:val="2"/>
          <w:sz w:val="28"/>
          <w:szCs w:val="28"/>
        </w:rPr>
      </w:pPr>
      <w:r>
        <w:rPr>
          <w:rFonts w:hint="default" w:ascii="Times New Roman" w:hAnsi="Times New Roman" w:eastAsia="仿宋" w:cs="Times New Roman"/>
          <w:color w:val="auto"/>
          <w:kern w:val="2"/>
          <w:sz w:val="28"/>
          <w:szCs w:val="28"/>
        </w:rPr>
        <w:t>6</w:t>
      </w:r>
      <w:r>
        <w:rPr>
          <w:rFonts w:ascii="Times New Roman" w:hAnsi="Times New Roman" w:eastAsia="仿宋" w:cs="Times New Roman"/>
          <w:color w:val="auto"/>
          <w:kern w:val="2"/>
          <w:sz w:val="28"/>
          <w:szCs w:val="28"/>
        </w:rPr>
        <w:t>月</w:t>
      </w:r>
      <w:r>
        <w:rPr>
          <w:rFonts w:hint="default" w:ascii="Times New Roman" w:hAnsi="Times New Roman" w:eastAsia="仿宋" w:cs="Times New Roman"/>
          <w:color w:val="auto"/>
          <w:kern w:val="2"/>
          <w:sz w:val="28"/>
          <w:szCs w:val="28"/>
        </w:rPr>
        <w:t>20日，</w:t>
      </w:r>
      <w:r>
        <w:rPr>
          <w:rFonts w:ascii="Times New Roman" w:hAnsi="Times New Roman" w:eastAsia="仿宋" w:cs="Times New Roman"/>
          <w:color w:val="auto"/>
          <w:kern w:val="2"/>
          <w:sz w:val="28"/>
          <w:szCs w:val="28"/>
        </w:rPr>
        <w:t>教育部公布实验教学和教学实验室建设研究项目立项名单，中心韩向龙教授《数智驱动的口腔医学实验教学新生态建设探索研究》项目获批立项。</w:t>
      </w:r>
    </w:p>
    <w:p w14:paraId="3637920E">
      <w:pPr>
        <w:pStyle w:val="32"/>
        <w:keepNext w:val="0"/>
        <w:keepLines w:val="0"/>
        <w:pageBreakBefore w:val="0"/>
        <w:kinsoku/>
        <w:wordWrap/>
        <w:overflowPunct/>
        <w:topLinePunct w:val="0"/>
        <w:bidi w:val="0"/>
        <w:ind w:firstLine="562"/>
        <w:textAlignment w:val="auto"/>
        <w:rPr>
          <w:rFonts w:hint="default" w:ascii="Times New Roman" w:hAnsi="Times New Roman" w:eastAsia="楷体" w:cs="Times New Roman"/>
          <w:b/>
          <w:bCs/>
          <w:color w:val="auto"/>
          <w:sz w:val="28"/>
          <w:szCs w:val="32"/>
          <w:highlight w:val="none"/>
          <w:lang w:val="en-US" w:eastAsia="zh-CN" w:bidi="ar-SA"/>
        </w:rPr>
      </w:pPr>
      <w:r>
        <w:rPr>
          <w:rFonts w:hint="eastAsia" w:ascii="楷体" w:hAnsi="楷体" w:eastAsia="楷体" w:cs="楷体"/>
          <w:b/>
          <w:bCs/>
          <w:color w:val="auto"/>
          <w:sz w:val="28"/>
          <w:szCs w:val="32"/>
          <w:highlight w:val="none"/>
          <w:lang w:val="en-US" w:eastAsia="zh-CN" w:bidi="ar-SA"/>
        </w:rPr>
        <w:t xml:space="preserve"> 3.中心获批</w:t>
      </w:r>
      <w:r>
        <w:rPr>
          <w:rFonts w:hint="default" w:ascii="Times New Roman" w:hAnsi="Times New Roman" w:eastAsia="楷体" w:cs="Times New Roman"/>
          <w:b/>
          <w:bCs/>
          <w:color w:val="auto"/>
          <w:sz w:val="28"/>
          <w:szCs w:val="32"/>
          <w:highlight w:val="none"/>
          <w:lang w:val="en-US" w:eastAsia="zh-CN" w:bidi="ar-SA"/>
        </w:rPr>
        <w:t>AOCMF</w:t>
      </w:r>
      <w:r>
        <w:rPr>
          <w:rFonts w:hint="eastAsia" w:ascii="楷体" w:hAnsi="楷体" w:eastAsia="楷体" w:cs="楷体"/>
          <w:b/>
          <w:bCs/>
          <w:color w:val="auto"/>
          <w:sz w:val="28"/>
          <w:szCs w:val="32"/>
          <w:highlight w:val="none"/>
          <w:lang w:val="en-US" w:eastAsia="zh-CN" w:bidi="ar-SA"/>
        </w:rPr>
        <w:t>国际培训中心</w:t>
      </w:r>
      <w:r>
        <w:rPr>
          <w:rFonts w:hint="default" w:ascii="Times New Roman" w:hAnsi="Times New Roman" w:eastAsia="楷体" w:cs="Times New Roman"/>
          <w:b/>
          <w:bCs/>
          <w:color w:val="auto"/>
          <w:sz w:val="28"/>
          <w:szCs w:val="32"/>
          <w:highlight w:val="none"/>
          <w:lang w:val="en-US" w:eastAsia="zh-CN" w:bidi="ar-SA"/>
        </w:rPr>
        <w:t>（AOCMF fell</w:t>
      </w:r>
      <w:r>
        <w:rPr>
          <w:rFonts w:hint="eastAsia" w:ascii="Times New Roman" w:hAnsi="Times New Roman" w:eastAsia="楷体" w:cs="Times New Roman"/>
          <w:b/>
          <w:bCs/>
          <w:color w:val="auto"/>
          <w:sz w:val="28"/>
          <w:szCs w:val="32"/>
          <w:highlight w:val="none"/>
          <w:lang w:val="en-US" w:eastAsia="zh-CN" w:bidi="ar-SA"/>
        </w:rPr>
        <w:t>o</w:t>
      </w:r>
      <w:r>
        <w:rPr>
          <w:rFonts w:hint="default" w:ascii="Times New Roman" w:hAnsi="Times New Roman" w:eastAsia="楷体" w:cs="Times New Roman"/>
          <w:b/>
          <w:bCs/>
          <w:color w:val="auto"/>
          <w:sz w:val="28"/>
          <w:szCs w:val="32"/>
          <w:highlight w:val="none"/>
          <w:lang w:val="en-US" w:eastAsia="zh-CN" w:bidi="ar-SA"/>
        </w:rPr>
        <w:t>wship host center）</w:t>
      </w:r>
    </w:p>
    <w:p w14:paraId="08D6786C">
      <w:pPr>
        <w:pStyle w:val="32"/>
        <w:keepNext w:val="0"/>
        <w:keepLines w:val="0"/>
        <w:pageBreakBefore w:val="0"/>
        <w:kinsoku/>
        <w:wordWrap/>
        <w:overflowPunct/>
        <w:topLinePunct w:val="0"/>
        <w:bidi w:val="0"/>
        <w:textAlignment w:val="auto"/>
        <w:rPr>
          <w:rFonts w:hint="default" w:ascii="Times New Roman" w:hAnsi="Times New Roman" w:eastAsia="仿宋" w:cs="Times New Roman"/>
          <w:color w:val="auto"/>
          <w:kern w:val="2"/>
          <w:sz w:val="28"/>
          <w:szCs w:val="28"/>
          <w:lang w:val="en-US" w:eastAsia="zh-CN"/>
        </w:rPr>
      </w:pPr>
      <w:r>
        <w:rPr>
          <w:rFonts w:hint="default" w:ascii="Times New Roman" w:hAnsi="Times New Roman" w:eastAsia="仿宋" w:cs="Times New Roman"/>
          <w:color w:val="auto"/>
          <w:kern w:val="2"/>
          <w:sz w:val="28"/>
          <w:szCs w:val="28"/>
          <w:lang w:val="en-US" w:eastAsia="zh-CN"/>
        </w:rPr>
        <w:t>我院成功获批建设国际内固定研究学会颅颌面外科分会AOCMF培训中心，并将从今年开始接收全球的口腔颌面外科医生进行短期（4-8周）的进修培训。</w:t>
      </w:r>
    </w:p>
    <w:p w14:paraId="5B6B6890">
      <w:pPr>
        <w:pStyle w:val="32"/>
        <w:keepNext w:val="0"/>
        <w:keepLines w:val="0"/>
        <w:pageBreakBefore w:val="0"/>
        <w:kinsoku/>
        <w:wordWrap/>
        <w:overflowPunct/>
        <w:topLinePunct w:val="0"/>
        <w:bidi w:val="0"/>
        <w:ind w:firstLine="0" w:firstLineChars="0"/>
        <w:jc w:val="center"/>
        <w:textAlignment w:val="auto"/>
        <w:rPr>
          <w:rFonts w:hint="default" w:eastAsiaTheme="minorEastAsia"/>
          <w:lang w:val="en-US" w:eastAsia="zh-CN"/>
        </w:rPr>
      </w:pPr>
      <w:r>
        <w:rPr>
          <w:rFonts w:hint="eastAsia" w:eastAsiaTheme="minorEastAsia"/>
          <w:lang w:eastAsia="zh-CN"/>
        </w:rPr>
        <w:drawing>
          <wp:inline distT="0" distB="0" distL="114300" distR="114300">
            <wp:extent cx="1376045" cy="2725420"/>
            <wp:effectExtent l="0" t="0" r="14605" b="17780"/>
            <wp:docPr id="4" name="图片 4" descr="a8997e77-6a04-4e07-8b4f-1abfc7ca41c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a8997e77-6a04-4e07-8b4f-1abfc7ca41c2"/>
                    <pic:cNvPicPr>
                      <a:picLocks noChangeAspect="1"/>
                    </pic:cNvPicPr>
                  </pic:nvPicPr>
                  <pic:blipFill>
                    <a:blip r:embed="rId11"/>
                    <a:srcRect t="8669"/>
                    <a:stretch>
                      <a:fillRect/>
                    </a:stretch>
                  </pic:blipFill>
                  <pic:spPr>
                    <a:xfrm>
                      <a:off x="0" y="0"/>
                      <a:ext cx="1376045" cy="2725420"/>
                    </a:xfrm>
                    <a:prstGeom prst="rect">
                      <a:avLst/>
                    </a:prstGeom>
                  </pic:spPr>
                </pic:pic>
              </a:graphicData>
            </a:graphic>
          </wp:inline>
        </w:drawing>
      </w:r>
    </w:p>
    <w:p w14:paraId="5F0AA878">
      <w:pPr>
        <w:keepNext w:val="0"/>
        <w:keepLines w:val="0"/>
        <w:pageBreakBefore w:val="0"/>
        <w:widowControl w:val="0"/>
        <w:kinsoku/>
        <w:wordWrap/>
        <w:overflowPunct/>
        <w:topLinePunct w:val="0"/>
        <w:bidi w:val="0"/>
        <w:adjustRightInd w:val="0"/>
        <w:snapToGrid w:val="0"/>
        <w:spacing w:line="360" w:lineRule="auto"/>
        <w:ind w:firstLine="562" w:firstLineChars="200"/>
        <w:textAlignment w:val="auto"/>
        <w:rPr>
          <w:rFonts w:hint="eastAsia" w:ascii="楷体" w:hAnsi="楷体" w:eastAsia="楷体" w:cs="楷体"/>
          <w:b/>
          <w:bCs/>
          <w:sz w:val="28"/>
          <w:szCs w:val="32"/>
        </w:rPr>
      </w:pPr>
      <w:r>
        <w:rPr>
          <w:rFonts w:hint="eastAsia" w:ascii="楷体" w:hAnsi="楷体" w:eastAsia="楷体" w:cs="楷体"/>
          <w:b/>
          <w:bCs/>
          <w:sz w:val="28"/>
          <w:szCs w:val="32"/>
          <w:lang w:val="en-US" w:eastAsia="zh-CN"/>
        </w:rPr>
        <w:t>4</w:t>
      </w:r>
      <w:r>
        <w:rPr>
          <w:rFonts w:hint="eastAsia" w:ascii="楷体" w:hAnsi="楷体" w:eastAsia="楷体" w:cs="楷体"/>
          <w:b/>
          <w:bCs/>
          <w:sz w:val="28"/>
          <w:szCs w:val="32"/>
        </w:rPr>
        <w:t>.中心获2022-2023年度四川大学实验室建设与管理先进集体等荣誉</w:t>
      </w:r>
    </w:p>
    <w:p w14:paraId="49BAE35A">
      <w:pPr>
        <w:pStyle w:val="32"/>
        <w:keepNext w:val="0"/>
        <w:keepLines w:val="0"/>
        <w:pageBreakBefore w:val="0"/>
        <w:kinsoku/>
        <w:wordWrap/>
        <w:overflowPunct/>
        <w:topLinePunct w:val="0"/>
        <w:bidi w:val="0"/>
        <w:textAlignment w:val="auto"/>
        <w:rPr>
          <w:rFonts w:hint="default" w:ascii="Times New Roman" w:hAnsi="Times New Roman" w:eastAsia="仿宋" w:cs="Times New Roman"/>
          <w:color w:val="auto"/>
          <w:kern w:val="2"/>
          <w:sz w:val="28"/>
          <w:szCs w:val="28"/>
        </w:rPr>
      </w:pPr>
      <w:r>
        <w:rPr>
          <w:rFonts w:hint="default" w:ascii="Times New Roman" w:hAnsi="Times New Roman" w:eastAsia="仿宋" w:cs="Times New Roman"/>
          <w:color w:val="auto"/>
          <w:kern w:val="2"/>
          <w:sz w:val="28"/>
          <w:szCs w:val="28"/>
        </w:rPr>
        <w:t>我院获评“四川大学实验室建设与管理工作先进集体”和 “四川大学大型仪器设备开放共享优秀机组”（负责人：郑庆华），王诗达老师获评“四川大学大型仪器设备开放共享先进个人”。</w:t>
      </w:r>
    </w:p>
    <w:p w14:paraId="5585CCB2">
      <w:pPr>
        <w:pStyle w:val="32"/>
        <w:keepNext w:val="0"/>
        <w:keepLines w:val="0"/>
        <w:pageBreakBefore w:val="0"/>
        <w:kinsoku/>
        <w:wordWrap/>
        <w:overflowPunct/>
        <w:topLinePunct w:val="0"/>
        <w:bidi w:val="0"/>
        <w:ind w:firstLine="0" w:firstLineChars="0"/>
        <w:jc w:val="center"/>
        <w:textAlignment w:val="auto"/>
        <w:rPr>
          <w:rFonts w:hint="eastAsia" w:ascii="Times New Roman" w:hAnsi="Times New Roman" w:eastAsia="仿宋" w:cs="Times New Roman"/>
          <w:color w:val="auto"/>
          <w:kern w:val="2"/>
          <w:sz w:val="28"/>
          <w:szCs w:val="28"/>
          <w:lang w:eastAsia="zh-CN"/>
        </w:rPr>
      </w:pPr>
      <w:r>
        <w:drawing>
          <wp:inline distT="0" distB="0" distL="114300" distR="114300">
            <wp:extent cx="2189480" cy="1458595"/>
            <wp:effectExtent l="0" t="0" r="1270" b="8255"/>
            <wp:docPr id="7" name="图片 7" descr="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5"/>
                    <pic:cNvPicPr>
                      <a:picLocks noChangeAspect="1"/>
                    </pic:cNvPicPr>
                  </pic:nvPicPr>
                  <pic:blipFill>
                    <a:blip r:embed="rId12"/>
                    <a:stretch>
                      <a:fillRect/>
                    </a:stretch>
                  </pic:blipFill>
                  <pic:spPr>
                    <a:xfrm>
                      <a:off x="0" y="0"/>
                      <a:ext cx="2189480" cy="1458595"/>
                    </a:xfrm>
                    <a:prstGeom prst="rect">
                      <a:avLst/>
                    </a:prstGeom>
                  </pic:spPr>
                </pic:pic>
              </a:graphicData>
            </a:graphic>
          </wp:inline>
        </w:drawing>
      </w:r>
      <w:r>
        <w:t xml:space="preserve"> </w:t>
      </w:r>
      <w:r>
        <w:drawing>
          <wp:inline distT="0" distB="0" distL="114300" distR="114300">
            <wp:extent cx="2204085" cy="1489075"/>
            <wp:effectExtent l="0" t="0" r="5715" b="15875"/>
            <wp:docPr id="6" name="图片 6"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3"/>
                    <pic:cNvPicPr>
                      <a:picLocks noChangeAspect="1"/>
                    </pic:cNvPicPr>
                  </pic:nvPicPr>
                  <pic:blipFill>
                    <a:blip r:embed="rId13"/>
                    <a:stretch>
                      <a:fillRect/>
                    </a:stretch>
                  </pic:blipFill>
                  <pic:spPr>
                    <a:xfrm>
                      <a:off x="0" y="0"/>
                      <a:ext cx="2204085" cy="1489075"/>
                    </a:xfrm>
                    <a:prstGeom prst="rect">
                      <a:avLst/>
                    </a:prstGeom>
                  </pic:spPr>
                </pic:pic>
              </a:graphicData>
            </a:graphic>
          </wp:inline>
        </w:drawing>
      </w:r>
    </w:p>
    <w:p w14:paraId="2B3A772C">
      <w:pPr>
        <w:keepNext w:val="0"/>
        <w:keepLines w:val="0"/>
        <w:pageBreakBefore w:val="0"/>
        <w:kinsoku/>
        <w:wordWrap/>
        <w:overflowPunct/>
        <w:topLinePunct w:val="0"/>
        <w:bidi w:val="0"/>
        <w:ind w:firstLine="560" w:firstLineChars="200"/>
        <w:textAlignment w:val="auto"/>
        <w:rPr>
          <w:rFonts w:hint="eastAsia" w:ascii="黑体" w:hAnsi="黑体" w:eastAsia="黑体" w:cs="仿宋_GB2312"/>
          <w:sz w:val="28"/>
          <w:szCs w:val="28"/>
        </w:rPr>
      </w:pPr>
      <w:r>
        <w:rPr>
          <w:rFonts w:hint="eastAsia" w:ascii="黑体" w:hAnsi="黑体" w:eastAsia="黑体" w:cs="仿宋_GB2312"/>
          <w:sz w:val="28"/>
          <w:szCs w:val="28"/>
        </w:rPr>
        <w:t>六、示范中心存在的主要问题</w:t>
      </w:r>
    </w:p>
    <w:p w14:paraId="723DA905">
      <w:pPr>
        <w:keepNext w:val="0"/>
        <w:keepLines w:val="0"/>
        <w:pageBreakBefore w:val="0"/>
        <w:kinsoku/>
        <w:wordWrap/>
        <w:overflowPunct/>
        <w:topLinePunct w:val="0"/>
        <w:bidi w:val="0"/>
        <w:adjustRightInd w:val="0"/>
        <w:snapToGrid w:val="0"/>
        <w:spacing w:line="360" w:lineRule="auto"/>
        <w:ind w:firstLine="555"/>
        <w:textAlignment w:val="auto"/>
        <w:rPr>
          <w:rFonts w:hint="eastAsia" w:ascii="黑体" w:hAnsi="黑体" w:eastAsia="黑体" w:cs="仿宋_GB2312"/>
          <w:sz w:val="28"/>
          <w:szCs w:val="28"/>
        </w:rPr>
      </w:pPr>
      <w:r>
        <w:rPr>
          <w:rFonts w:hint="eastAsia" w:ascii="Times New Roman" w:hAnsi="Times New Roman" w:eastAsia="仿宋"/>
          <w:sz w:val="28"/>
          <w:szCs w:val="28"/>
        </w:rPr>
        <w:t>中心管理信息化建设存在短板，部分实验室未实现网络一体化，中心功能布局待优化，部分设施设备老化，需进一步改造升级。</w:t>
      </w:r>
    </w:p>
    <w:p w14:paraId="3EA68ED9">
      <w:pPr>
        <w:keepNext w:val="0"/>
        <w:keepLines w:val="0"/>
        <w:pageBreakBefore w:val="0"/>
        <w:numPr>
          <w:ilvl w:val="0"/>
          <w:numId w:val="4"/>
        </w:numPr>
        <w:kinsoku/>
        <w:wordWrap/>
        <w:overflowPunct/>
        <w:topLinePunct w:val="0"/>
        <w:bidi w:val="0"/>
        <w:ind w:firstLine="560" w:firstLineChars="200"/>
        <w:textAlignment w:val="auto"/>
        <w:rPr>
          <w:rFonts w:hint="eastAsia" w:ascii="黑体" w:hAnsi="黑体" w:eastAsia="黑体" w:cs="仿宋_GB2312"/>
          <w:sz w:val="28"/>
          <w:szCs w:val="28"/>
        </w:rPr>
      </w:pPr>
      <w:bookmarkStart w:id="4" w:name="OLE_LINK91"/>
      <w:bookmarkStart w:id="5" w:name="OLE_LINK95"/>
      <w:bookmarkStart w:id="6" w:name="OLE_LINK24"/>
      <w:bookmarkStart w:id="7" w:name="OLE_LINK71"/>
      <w:bookmarkStart w:id="8" w:name="OLE_LINK16"/>
      <w:bookmarkStart w:id="9" w:name="OLE_LINK79"/>
      <w:bookmarkStart w:id="10" w:name="OLE_LINK29"/>
      <w:bookmarkStart w:id="11" w:name="OLE_LINK10"/>
      <w:bookmarkStart w:id="12" w:name="OLE_LINK55"/>
      <w:bookmarkStart w:id="13" w:name="OLE_LINK8"/>
      <w:bookmarkStart w:id="14" w:name="OLE_LINK12"/>
      <w:bookmarkStart w:id="15" w:name="OLE_LINK25"/>
      <w:bookmarkStart w:id="16" w:name="OLE_LINK51"/>
      <w:bookmarkStart w:id="17" w:name="OLE_LINK66"/>
      <w:bookmarkStart w:id="18" w:name="OLE_LINK78"/>
      <w:bookmarkStart w:id="19" w:name="OLE_LINK61"/>
      <w:bookmarkStart w:id="20" w:name="OLE_LINK68"/>
      <w:bookmarkStart w:id="21" w:name="OLE_LINK41"/>
      <w:bookmarkStart w:id="22" w:name="OLE_LINK30"/>
      <w:bookmarkStart w:id="23" w:name="OLE_LINK39"/>
      <w:bookmarkStart w:id="24" w:name="OLE_LINK90"/>
      <w:bookmarkStart w:id="25" w:name="OLE_LINK26"/>
      <w:bookmarkStart w:id="26" w:name="OLE_LINK22"/>
      <w:bookmarkStart w:id="27" w:name="OLE_LINK11"/>
      <w:bookmarkStart w:id="28" w:name="OLE_LINK81"/>
      <w:bookmarkStart w:id="29" w:name="OLE_LINK76"/>
      <w:bookmarkStart w:id="30" w:name="OLE_LINK92"/>
      <w:bookmarkStart w:id="31" w:name="OLE_LINK5"/>
      <w:bookmarkStart w:id="32" w:name="OLE_LINK87"/>
      <w:bookmarkStart w:id="33" w:name="OLE_LINK38"/>
      <w:bookmarkStart w:id="34" w:name="OLE_LINK49"/>
      <w:bookmarkStart w:id="35" w:name="OLE_LINK77"/>
      <w:bookmarkStart w:id="36" w:name="OLE_LINK23"/>
      <w:bookmarkStart w:id="37" w:name="OLE_LINK20"/>
      <w:bookmarkStart w:id="38" w:name="OLE_LINK69"/>
      <w:bookmarkStart w:id="39" w:name="OLE_LINK67"/>
      <w:bookmarkStart w:id="40" w:name="OLE_LINK18"/>
      <w:bookmarkStart w:id="41" w:name="OLE_LINK80"/>
      <w:bookmarkStart w:id="42" w:name="OLE_LINK65"/>
      <w:bookmarkStart w:id="43" w:name="OLE_LINK44"/>
      <w:bookmarkStart w:id="44" w:name="OLE_LINK96"/>
      <w:bookmarkStart w:id="45" w:name="OLE_LINK17"/>
      <w:bookmarkStart w:id="46" w:name="OLE_LINK75"/>
      <w:bookmarkStart w:id="47" w:name="OLE_LINK13"/>
      <w:bookmarkStart w:id="48" w:name="OLE_LINK57"/>
      <w:bookmarkStart w:id="49" w:name="OLE_LINK6"/>
      <w:bookmarkStart w:id="50" w:name="OLE_LINK35"/>
      <w:bookmarkStart w:id="51" w:name="OLE_LINK28"/>
      <w:bookmarkStart w:id="52" w:name="OLE_LINK85"/>
      <w:bookmarkStart w:id="53" w:name="OLE_LINK100"/>
      <w:bookmarkStart w:id="54" w:name="OLE_LINK34"/>
      <w:bookmarkStart w:id="55" w:name="OLE_LINK60"/>
      <w:bookmarkStart w:id="56" w:name="OLE_LINK82"/>
      <w:bookmarkStart w:id="57" w:name="OLE_LINK63"/>
      <w:bookmarkStart w:id="58" w:name="OLE_LINK52"/>
      <w:bookmarkStart w:id="59" w:name="OLE_LINK21"/>
      <w:bookmarkStart w:id="60" w:name="OLE_LINK62"/>
      <w:bookmarkStart w:id="61" w:name="OLE_LINK50"/>
      <w:bookmarkStart w:id="62" w:name="OLE_LINK72"/>
      <w:bookmarkStart w:id="63" w:name="OLE_LINK46"/>
      <w:bookmarkStart w:id="64" w:name="OLE_LINK48"/>
      <w:bookmarkStart w:id="65" w:name="OLE_LINK40"/>
      <w:bookmarkStart w:id="66" w:name="OLE_LINK101"/>
      <w:bookmarkStart w:id="67" w:name="OLE_LINK32"/>
      <w:bookmarkStart w:id="68" w:name="OLE_LINK93"/>
      <w:bookmarkStart w:id="69" w:name="OLE_LINK84"/>
      <w:bookmarkStart w:id="70" w:name="OLE_LINK98"/>
      <w:bookmarkStart w:id="71" w:name="OLE_LINK45"/>
      <w:bookmarkStart w:id="72" w:name="OLE_LINK2"/>
      <w:bookmarkStart w:id="73" w:name="OLE_LINK74"/>
      <w:bookmarkStart w:id="74" w:name="OLE_LINK103"/>
      <w:bookmarkStart w:id="75" w:name="OLE_LINK59"/>
      <w:bookmarkStart w:id="76" w:name="OLE_LINK58"/>
      <w:bookmarkStart w:id="77" w:name="OLE_LINK43"/>
      <w:bookmarkStart w:id="78" w:name="OLE_LINK64"/>
      <w:bookmarkStart w:id="79" w:name="OLE_LINK88"/>
      <w:bookmarkStart w:id="80" w:name="OLE_LINK33"/>
      <w:bookmarkStart w:id="81" w:name="OLE_LINK15"/>
      <w:bookmarkStart w:id="82" w:name="OLE_LINK70"/>
      <w:bookmarkStart w:id="83" w:name="OLE_LINK7"/>
      <w:bookmarkStart w:id="84" w:name="OLE_LINK9"/>
      <w:bookmarkStart w:id="85" w:name="OLE_LINK89"/>
      <w:bookmarkStart w:id="86" w:name="OLE_LINK97"/>
      <w:bookmarkStart w:id="87" w:name="OLE_LINK86"/>
      <w:bookmarkStart w:id="88" w:name="OLE_LINK37"/>
      <w:bookmarkStart w:id="89" w:name="OLE_LINK1"/>
      <w:bookmarkStart w:id="90" w:name="OLE_LINK94"/>
      <w:bookmarkStart w:id="91" w:name="OLE_LINK56"/>
      <w:bookmarkStart w:id="92" w:name="OLE_LINK3"/>
      <w:bookmarkStart w:id="93" w:name="OLE_LINK31"/>
      <w:bookmarkStart w:id="94" w:name="OLE_LINK4"/>
      <w:bookmarkStart w:id="95" w:name="OLE_LINK53"/>
      <w:bookmarkStart w:id="96" w:name="OLE_LINK19"/>
      <w:bookmarkStart w:id="97" w:name="OLE_LINK54"/>
      <w:bookmarkStart w:id="98" w:name="OLE_LINK83"/>
      <w:bookmarkStart w:id="99" w:name="OLE_LINK47"/>
      <w:bookmarkStart w:id="100" w:name="OLE_LINK27"/>
      <w:bookmarkStart w:id="101" w:name="OLE_LINK99"/>
      <w:bookmarkStart w:id="102" w:name="OLE_LINK42"/>
      <w:bookmarkStart w:id="103" w:name="OLE_LINK36"/>
      <w:bookmarkStart w:id="104" w:name="OLE_LINK73"/>
      <w:bookmarkStart w:id="105" w:name="OLE_LINK102"/>
      <w:bookmarkStart w:id="106" w:name="OLE_LINK14"/>
      <w:r>
        <w:rPr>
          <w:rFonts w:hint="eastAsia" w:ascii="黑体" w:hAnsi="黑体" w:eastAsia="黑体" w:cs="仿宋_GB2312"/>
          <w:sz w:val="28"/>
          <w:szCs w:val="28"/>
        </w:rPr>
        <w:t>所在学校与学校上级主管部门</w:t>
      </w:r>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r>
        <w:rPr>
          <w:rFonts w:hint="eastAsia" w:ascii="黑体" w:hAnsi="黑体" w:eastAsia="黑体" w:cs="仿宋_GB2312"/>
          <w:sz w:val="28"/>
          <w:szCs w:val="28"/>
        </w:rPr>
        <w:t>的支持</w:t>
      </w:r>
    </w:p>
    <w:p w14:paraId="4C40B93D">
      <w:pPr>
        <w:keepNext w:val="0"/>
        <w:keepLines w:val="0"/>
        <w:pageBreakBefore w:val="0"/>
        <w:kinsoku/>
        <w:wordWrap/>
        <w:overflowPunct/>
        <w:topLinePunct w:val="0"/>
        <w:bidi w:val="0"/>
        <w:adjustRightInd w:val="0"/>
        <w:snapToGrid w:val="0"/>
        <w:spacing w:line="360" w:lineRule="auto"/>
        <w:ind w:firstLine="562" w:firstLineChars="200"/>
        <w:textAlignment w:val="auto"/>
        <w:rPr>
          <w:rFonts w:hint="eastAsia" w:ascii="楷体" w:hAnsi="楷体" w:eastAsia="楷体" w:cs="楷体"/>
          <w:b/>
          <w:sz w:val="28"/>
          <w:szCs w:val="28"/>
        </w:rPr>
      </w:pPr>
      <w:r>
        <w:rPr>
          <w:rFonts w:hint="eastAsia" w:ascii="楷体" w:hAnsi="楷体" w:eastAsia="楷体" w:cs="楷体"/>
          <w:b/>
          <w:sz w:val="28"/>
          <w:szCs w:val="28"/>
        </w:rPr>
        <w:t>（一）实验师资队伍建设支持</w:t>
      </w:r>
    </w:p>
    <w:p w14:paraId="5B51422C">
      <w:pPr>
        <w:keepNext w:val="0"/>
        <w:keepLines w:val="0"/>
        <w:pageBreakBefore w:val="0"/>
        <w:kinsoku/>
        <w:wordWrap/>
        <w:overflowPunct/>
        <w:topLinePunct w:val="0"/>
        <w:bidi w:val="0"/>
        <w:adjustRightInd w:val="0"/>
        <w:snapToGrid w:val="0"/>
        <w:spacing w:line="360" w:lineRule="auto"/>
        <w:ind w:firstLine="560" w:firstLineChars="200"/>
        <w:textAlignment w:val="auto"/>
        <w:rPr>
          <w:rFonts w:ascii="Times New Roman" w:hAnsi="Times New Roman" w:eastAsia="仿宋"/>
          <w:sz w:val="28"/>
          <w:szCs w:val="28"/>
        </w:rPr>
      </w:pPr>
      <w:r>
        <w:rPr>
          <w:rFonts w:hint="eastAsia" w:ascii="Times New Roman" w:hAnsi="Times New Roman" w:eastAsia="仿宋" w:cs="Times New Roman"/>
          <w:sz w:val="28"/>
          <w:szCs w:val="28"/>
          <w:highlight w:val="none"/>
        </w:rPr>
        <w:t>2024年组织中心实验队伍参加</w:t>
      </w:r>
      <w:r>
        <w:rPr>
          <w:rFonts w:ascii="Times New Roman" w:hAnsi="Times New Roman" w:eastAsia="仿宋"/>
          <w:sz w:val="28"/>
          <w:szCs w:val="28"/>
          <w:highlight w:val="none"/>
        </w:rPr>
        <w:t>国家级实验教学示范中心联席会</w:t>
      </w:r>
      <w:r>
        <w:rPr>
          <w:rFonts w:hint="eastAsia" w:ascii="Times New Roman" w:hAnsi="Times New Roman" w:eastAsia="仿宋" w:cs="Times New Roman"/>
          <w:sz w:val="28"/>
          <w:szCs w:val="28"/>
          <w:highlight w:val="none"/>
          <w:lang w:val="en-US" w:eastAsia="zh-CN"/>
        </w:rPr>
        <w:t>等相关会议和多项教学培训活动</w:t>
      </w:r>
      <w:r>
        <w:rPr>
          <w:rFonts w:hint="eastAsia" w:ascii="Times New Roman" w:hAnsi="Times New Roman" w:eastAsia="仿宋" w:cs="Times New Roman"/>
          <w:sz w:val="28"/>
          <w:szCs w:val="28"/>
          <w:highlight w:val="none"/>
        </w:rPr>
        <w:t>，有力提升了</w:t>
      </w:r>
      <w:r>
        <w:rPr>
          <w:rFonts w:hint="eastAsia" w:ascii="Times New Roman" w:hAnsi="Times New Roman" w:eastAsia="仿宋"/>
          <w:sz w:val="28"/>
          <w:szCs w:val="28"/>
          <w:highlight w:val="none"/>
        </w:rPr>
        <w:t>实验教学管理、</w:t>
      </w:r>
      <w:r>
        <w:rPr>
          <w:rFonts w:hint="eastAsia" w:ascii="Times New Roman" w:hAnsi="Times New Roman" w:eastAsia="仿宋" w:cs="Times New Roman"/>
          <w:sz w:val="28"/>
          <w:szCs w:val="28"/>
          <w:highlight w:val="none"/>
        </w:rPr>
        <w:t>实验教辅、技术队伍的学术理论水平和技能水准。</w:t>
      </w:r>
    </w:p>
    <w:p w14:paraId="78699EF7">
      <w:pPr>
        <w:keepNext w:val="0"/>
        <w:keepLines w:val="0"/>
        <w:pageBreakBefore w:val="0"/>
        <w:kinsoku/>
        <w:wordWrap/>
        <w:overflowPunct/>
        <w:topLinePunct w:val="0"/>
        <w:bidi w:val="0"/>
        <w:adjustRightInd w:val="0"/>
        <w:snapToGrid w:val="0"/>
        <w:spacing w:line="360" w:lineRule="auto"/>
        <w:ind w:firstLine="562" w:firstLineChars="200"/>
        <w:textAlignment w:val="auto"/>
        <w:rPr>
          <w:rFonts w:hint="eastAsia" w:ascii="楷体" w:hAnsi="楷体" w:eastAsia="楷体" w:cs="仿宋_GB2312"/>
          <w:b/>
          <w:sz w:val="28"/>
          <w:szCs w:val="28"/>
          <w:highlight w:val="none"/>
        </w:rPr>
      </w:pPr>
      <w:r>
        <w:rPr>
          <w:rFonts w:hint="eastAsia" w:ascii="楷体" w:hAnsi="楷体" w:eastAsia="楷体" w:cs="楷体"/>
          <w:b/>
          <w:sz w:val="28"/>
          <w:szCs w:val="28"/>
        </w:rPr>
        <w:t>（二）各项经费支持保障中</w:t>
      </w:r>
      <w:r>
        <w:rPr>
          <w:rFonts w:hint="eastAsia" w:ascii="楷体" w:hAnsi="楷体" w:eastAsia="楷体" w:cs="楷体"/>
          <w:b/>
          <w:sz w:val="28"/>
          <w:szCs w:val="28"/>
          <w:highlight w:val="none"/>
        </w:rPr>
        <w:t>心建设</w:t>
      </w:r>
    </w:p>
    <w:p w14:paraId="03FBC7F6">
      <w:pPr>
        <w:keepNext w:val="0"/>
        <w:keepLines w:val="0"/>
        <w:pageBreakBefore w:val="0"/>
        <w:kinsoku/>
        <w:wordWrap/>
        <w:overflowPunct/>
        <w:topLinePunct w:val="0"/>
        <w:bidi w:val="0"/>
        <w:adjustRightInd w:val="0"/>
        <w:snapToGrid w:val="0"/>
        <w:spacing w:line="360" w:lineRule="auto"/>
        <w:ind w:firstLine="560" w:firstLineChars="200"/>
        <w:jc w:val="both"/>
        <w:textAlignment w:val="auto"/>
        <w:rPr>
          <w:rFonts w:hint="eastAsia" w:ascii="黑体" w:hAnsi="黑体" w:eastAsia="黑体" w:cs="仿宋_GB2312"/>
          <w:sz w:val="28"/>
          <w:szCs w:val="28"/>
        </w:rPr>
      </w:pPr>
      <w:r>
        <w:rPr>
          <w:rFonts w:hint="eastAsia" w:ascii="Times New Roman" w:hAnsi="Times New Roman" w:eastAsia="仿宋" w:cs="Times New Roman"/>
          <w:sz w:val="28"/>
          <w:szCs w:val="28"/>
          <w:highlight w:val="none"/>
        </w:rPr>
        <w:t>2024年</w:t>
      </w:r>
      <w:r>
        <w:rPr>
          <w:rFonts w:hint="eastAsia" w:ascii="Times New Roman" w:hAnsi="Times New Roman" w:eastAsia="仿宋"/>
          <w:sz w:val="28"/>
          <w:szCs w:val="28"/>
          <w:highlight w:val="none"/>
        </w:rPr>
        <w:t>中心在学校的支持下，完成</w:t>
      </w:r>
      <w:r>
        <w:rPr>
          <w:rFonts w:hint="eastAsia" w:ascii="Times New Roman" w:hAnsi="Times New Roman" w:eastAsia="仿宋" w:cs="Times New Roman"/>
          <w:sz w:val="28"/>
          <w:szCs w:val="28"/>
          <w:highlight w:val="none"/>
        </w:rPr>
        <w:t>3楼仿头模实验室设备更新升级。</w:t>
      </w:r>
      <w:r>
        <w:rPr>
          <w:rFonts w:hint="eastAsia" w:ascii="Times New Roman" w:hAnsi="Times New Roman" w:eastAsia="仿宋" w:cs="Times New Roman"/>
          <w:sz w:val="28"/>
          <w:szCs w:val="28"/>
        </w:rPr>
        <w:t>学校实验室及设备管理处根据中心建设与运行所需，大力支持耗材购置、设备维修、增购等经费用于中心实验室的日常运行，保障中心实验室课程及活动的正常开展</w:t>
      </w:r>
      <w:r>
        <w:rPr>
          <w:rFonts w:ascii="Times New Roman" w:hAnsi="Times New Roman" w:eastAsia="仿宋" w:cs="Times New Roman"/>
          <w:sz w:val="28"/>
          <w:szCs w:val="28"/>
        </w:rPr>
        <w:t>。</w:t>
      </w:r>
    </w:p>
    <w:p w14:paraId="6A82B8B0">
      <w:pPr>
        <w:keepNext w:val="0"/>
        <w:keepLines w:val="0"/>
        <w:pageBreakBefore w:val="0"/>
        <w:kinsoku/>
        <w:wordWrap/>
        <w:overflowPunct/>
        <w:topLinePunct w:val="0"/>
        <w:bidi w:val="0"/>
        <w:ind w:firstLine="560" w:firstLineChars="200"/>
        <w:textAlignment w:val="auto"/>
        <w:rPr>
          <w:rFonts w:hint="eastAsia" w:ascii="黑体" w:hAnsi="黑体" w:eastAsia="黑体" w:cs="仿宋_GB2312"/>
          <w:sz w:val="28"/>
          <w:szCs w:val="28"/>
        </w:rPr>
      </w:pPr>
      <w:r>
        <w:rPr>
          <w:rFonts w:hint="eastAsia" w:ascii="黑体" w:hAnsi="黑体" w:eastAsia="黑体" w:cs="仿宋_GB2312"/>
          <w:sz w:val="28"/>
          <w:szCs w:val="28"/>
        </w:rPr>
        <w:t>八、下一年发展思路</w:t>
      </w:r>
    </w:p>
    <w:p w14:paraId="1DFC4758">
      <w:pPr>
        <w:pStyle w:val="33"/>
        <w:keepNext w:val="0"/>
        <w:keepLines w:val="0"/>
        <w:pageBreakBefore w:val="0"/>
        <w:kinsoku/>
        <w:wordWrap/>
        <w:overflowPunct/>
        <w:topLinePunct w:val="0"/>
        <w:bidi w:val="0"/>
        <w:spacing w:after="0" w:line="360" w:lineRule="auto"/>
        <w:ind w:left="0" w:firstLine="560" w:firstLineChars="200"/>
        <w:jc w:val="both"/>
        <w:textAlignment w:val="auto"/>
        <w:rPr>
          <w:rFonts w:hint="eastAsia" w:ascii="Times New Roman" w:hAnsi="Times New Roman" w:eastAsia="仿宋" w:cs="Times New Roman"/>
          <w:kern w:val="2"/>
          <w:sz w:val="28"/>
          <w:szCs w:val="28"/>
          <w:lang w:val="en-US" w:eastAsia="zh-CN" w:bidi="ar-SA"/>
        </w:rPr>
      </w:pPr>
      <w:r>
        <w:rPr>
          <w:rFonts w:hint="eastAsia" w:ascii="Times New Roman" w:hAnsi="Times New Roman" w:eastAsia="仿宋" w:cs="Times New Roman"/>
          <w:kern w:val="2"/>
          <w:sz w:val="28"/>
          <w:szCs w:val="28"/>
          <w:lang w:val="en-US" w:eastAsia="zh-CN" w:bidi="ar-SA"/>
        </w:rPr>
        <w:t>1. 全面推进教学实验中心升级改造，以教学功能为单元规划整合实验室，更新换代教学实验室陈旧教学设备，进一步改善实验教学条件，支撑闭环式实验教学人才培养体系。</w:t>
      </w:r>
    </w:p>
    <w:p w14:paraId="44B50346">
      <w:pPr>
        <w:pStyle w:val="33"/>
        <w:keepNext w:val="0"/>
        <w:keepLines w:val="0"/>
        <w:pageBreakBefore w:val="0"/>
        <w:kinsoku/>
        <w:wordWrap/>
        <w:overflowPunct/>
        <w:topLinePunct w:val="0"/>
        <w:bidi w:val="0"/>
        <w:spacing w:after="0" w:line="360" w:lineRule="auto"/>
        <w:ind w:left="0" w:firstLine="560" w:firstLineChars="200"/>
        <w:jc w:val="both"/>
        <w:textAlignment w:val="auto"/>
        <w:rPr>
          <w:rFonts w:hint="eastAsia" w:ascii="Times New Roman" w:hAnsi="Times New Roman" w:eastAsia="仿宋" w:cs="Times New Roman"/>
          <w:kern w:val="2"/>
          <w:sz w:val="28"/>
          <w:szCs w:val="28"/>
          <w:lang w:val="en-US" w:eastAsia="zh-CN" w:bidi="ar-SA"/>
        </w:rPr>
      </w:pPr>
      <w:r>
        <w:rPr>
          <w:rFonts w:hint="eastAsia" w:ascii="Times New Roman" w:hAnsi="Times New Roman" w:eastAsia="仿宋" w:cs="Times New Roman"/>
          <w:kern w:val="2"/>
          <w:sz w:val="28"/>
          <w:szCs w:val="28"/>
          <w:lang w:val="en-US" w:eastAsia="zh-CN" w:bidi="ar-SA"/>
        </w:rPr>
        <w:t>2. 建设全楼层实验设备一网互联的实验室智慧管理平台，提升实验教学中心高质量管理水平。</w:t>
      </w:r>
    </w:p>
    <w:p w14:paraId="226A285E">
      <w:pPr>
        <w:ind w:firstLine="560" w:firstLineChars="200"/>
        <w:rPr>
          <w:rFonts w:ascii="楷体" w:hAnsi="楷体" w:eastAsia="楷体" w:cs="仿宋_GB2312"/>
          <w:sz w:val="28"/>
          <w:szCs w:val="28"/>
        </w:rPr>
      </w:pPr>
    </w:p>
    <w:p w14:paraId="451C9970">
      <w:pPr>
        <w:ind w:firstLine="560" w:firstLineChars="200"/>
        <w:rPr>
          <w:rFonts w:ascii="楷体" w:hAnsi="楷体" w:eastAsia="楷体" w:cs="仿宋_GB2312"/>
          <w:sz w:val="28"/>
          <w:szCs w:val="28"/>
        </w:rPr>
      </w:pPr>
    </w:p>
    <w:p w14:paraId="7332162C">
      <w:pPr>
        <w:ind w:firstLine="560" w:firstLineChars="200"/>
        <w:rPr>
          <w:rFonts w:ascii="楷体" w:hAnsi="楷体" w:eastAsia="楷体" w:cs="仿宋_GB2312"/>
          <w:sz w:val="28"/>
          <w:szCs w:val="28"/>
        </w:rPr>
      </w:pPr>
    </w:p>
    <w:p w14:paraId="1A0D5A0B">
      <w:pPr>
        <w:ind w:firstLine="560" w:firstLineChars="200"/>
        <w:rPr>
          <w:rFonts w:ascii="楷体" w:hAnsi="楷体" w:eastAsia="楷体" w:cs="仿宋_GB2312"/>
          <w:sz w:val="28"/>
          <w:szCs w:val="28"/>
        </w:rPr>
      </w:pPr>
    </w:p>
    <w:p w14:paraId="75372AC9">
      <w:pPr>
        <w:ind w:firstLine="560" w:firstLineChars="200"/>
        <w:rPr>
          <w:rFonts w:ascii="黑体" w:hAnsi="黑体" w:eastAsia="黑体" w:cs="仿宋_GB2312"/>
          <w:sz w:val="28"/>
          <w:szCs w:val="28"/>
        </w:rPr>
      </w:pPr>
      <w:r>
        <w:rPr>
          <w:rFonts w:hint="eastAsia" w:ascii="黑体" w:hAnsi="黑体" w:eastAsia="黑体" w:cs="仿宋_GB2312"/>
          <w:sz w:val="28"/>
          <w:szCs w:val="28"/>
        </w:rPr>
        <w:t>注意事项及说明：</w:t>
      </w:r>
    </w:p>
    <w:p w14:paraId="60715DB3">
      <w:pPr>
        <w:ind w:firstLine="560" w:firstLineChars="200"/>
        <w:rPr>
          <w:rFonts w:ascii="楷体" w:hAnsi="楷体" w:eastAsia="楷体" w:cs="仿宋_GB2312"/>
          <w:sz w:val="28"/>
          <w:szCs w:val="28"/>
        </w:rPr>
      </w:pPr>
      <w:r>
        <w:rPr>
          <w:rFonts w:hint="eastAsia" w:ascii="楷体" w:hAnsi="楷体" w:eastAsia="楷体" w:cs="仿宋_GB2312"/>
          <w:sz w:val="28"/>
          <w:szCs w:val="28"/>
        </w:rPr>
        <w:t>1.文中内容与后面示范中心数据相对应，必须客观真实，避免使用“国内领先”“国际一流”等词。</w:t>
      </w:r>
    </w:p>
    <w:p w14:paraId="78247F74">
      <w:pPr>
        <w:ind w:firstLine="560" w:firstLineChars="200"/>
        <w:rPr>
          <w:rFonts w:hint="eastAsia" w:ascii="楷体" w:hAnsi="楷体" w:eastAsia="楷体" w:cs="仿宋_GB2312"/>
          <w:sz w:val="28"/>
          <w:szCs w:val="28"/>
        </w:rPr>
      </w:pPr>
      <w:r>
        <w:rPr>
          <w:rFonts w:hint="eastAsia" w:ascii="楷体" w:hAnsi="楷体" w:eastAsia="楷体" w:cs="仿宋_GB2312"/>
          <w:sz w:val="28"/>
          <w:szCs w:val="28"/>
        </w:rPr>
        <w:t>2.文中介绍的成果必须带有示范中心成员的署名。</w:t>
      </w:r>
    </w:p>
    <w:p w14:paraId="2B3A86C5">
      <w:pPr>
        <w:ind w:firstLine="560" w:firstLineChars="200"/>
        <w:rPr>
          <w:rFonts w:ascii="楷体" w:hAnsi="楷体" w:eastAsia="楷体" w:cs="仿宋_GB2312"/>
          <w:sz w:val="28"/>
          <w:szCs w:val="28"/>
        </w:rPr>
      </w:pPr>
      <w:r>
        <w:rPr>
          <w:rFonts w:hint="eastAsia" w:ascii="楷体" w:hAnsi="楷体" w:eastAsia="楷体" w:cs="仿宋_GB2312"/>
          <w:sz w:val="28"/>
          <w:szCs w:val="28"/>
        </w:rPr>
        <w:t>3.年度报告的表格行数可据实调整，不设附件，请做好相关成果支撑材料的存档工作。</w:t>
      </w:r>
    </w:p>
    <w:p w14:paraId="7F50F02E">
      <w:pPr>
        <w:ind w:firstLine="480" w:firstLineChars="200"/>
        <w:rPr>
          <w:rFonts w:ascii="仿宋" w:hAnsi="仿宋" w:eastAsia="仿宋" w:cs="仿宋_GB2312"/>
        </w:rPr>
      </w:pPr>
    </w:p>
    <w:p w14:paraId="69514464">
      <w:pPr>
        <w:spacing w:before="163" w:beforeLines="50"/>
        <w:rPr>
          <w:rFonts w:ascii="仿宋" w:hAnsi="仿宋" w:eastAsia="仿宋" w:cs="Times New Roman"/>
          <w:kern w:val="0"/>
          <w:sz w:val="32"/>
          <w:szCs w:val="32"/>
        </w:rPr>
      </w:pPr>
      <w:bookmarkStart w:id="107" w:name="_GoBack"/>
      <w:bookmarkEnd w:id="107"/>
    </w:p>
    <w:sectPr>
      <w:footerReference r:id="rId3" w:type="default"/>
      <w:pgSz w:w="11900" w:h="16840"/>
      <w:pgMar w:top="1440" w:right="1800" w:bottom="1440" w:left="1800" w:header="851" w:footer="992" w:gutter="0"/>
      <w:cols w:space="425" w:num="1"/>
      <w:docGrid w:type="lines" w:linePitch="32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onsolas">
    <w:panose1 w:val="020B0609020204030204"/>
    <w:charset w:val="00"/>
    <w:family w:val="modern"/>
    <w:pitch w:val="default"/>
    <w:sig w:usb0="E00006FF" w:usb1="0000FCFF" w:usb2="00000001" w:usb3="00000000" w:csb0="6000019F" w:csb1="DFD70000"/>
  </w:font>
  <w:font w:name="微软雅黑">
    <w:panose1 w:val="020B0503020204020204"/>
    <w:charset w:val="86"/>
    <w:family w:val="auto"/>
    <w:pitch w:val="default"/>
    <w:sig w:usb0="80000287" w:usb1="2ACF3C50" w:usb2="00000016" w:usb3="00000000" w:csb0="0004001F"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SimSun-ExtB">
    <w:panose1 w:val="02010609060101010101"/>
    <w:charset w:val="86"/>
    <w:family w:val="auto"/>
    <w:pitch w:val="default"/>
    <w:sig w:usb0="00000001" w:usb1="02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354409577"/>
    </w:sdtPr>
    <w:sdtContent>
      <w:p w14:paraId="2E46CF56">
        <w:pPr>
          <w:pStyle w:val="4"/>
          <w:jc w:val="center"/>
        </w:pPr>
        <w:r>
          <w:fldChar w:fldCharType="begin"/>
        </w:r>
        <w:r>
          <w:instrText xml:space="preserve">PAGE   \* MERGEFORMAT</w:instrText>
        </w:r>
        <w:r>
          <w:fldChar w:fldCharType="separate"/>
        </w:r>
        <w:r>
          <w:rPr>
            <w:lang w:val="zh-CN"/>
          </w:rPr>
          <w:t>11</w:t>
        </w:r>
        <w:r>
          <w:fldChar w:fldCharType="end"/>
        </w:r>
      </w:p>
    </w:sdtContent>
  </w:sdt>
  <w:p w14:paraId="6D8CE7C3">
    <w:pPr>
      <w:pStyle w:val="4"/>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714384E"/>
    <w:multiLevelType w:val="singleLevel"/>
    <w:tmpl w:val="A714384E"/>
    <w:lvl w:ilvl="0" w:tentative="0">
      <w:start w:val="2"/>
      <w:numFmt w:val="decimal"/>
      <w:suff w:val="nothing"/>
      <w:lvlText w:val="（%1）"/>
      <w:lvlJc w:val="left"/>
    </w:lvl>
  </w:abstractNum>
  <w:abstractNum w:abstractNumId="1">
    <w:nsid w:val="4A91C651"/>
    <w:multiLevelType w:val="singleLevel"/>
    <w:tmpl w:val="4A91C651"/>
    <w:lvl w:ilvl="0" w:tentative="0">
      <w:start w:val="2"/>
      <w:numFmt w:val="chineseCounting"/>
      <w:suff w:val="nothing"/>
      <w:lvlText w:val="（%1）"/>
      <w:lvlJc w:val="left"/>
      <w:rPr>
        <w:rFonts w:hint="eastAsia"/>
      </w:rPr>
    </w:lvl>
  </w:abstractNum>
  <w:abstractNum w:abstractNumId="2">
    <w:nsid w:val="518E61EA"/>
    <w:multiLevelType w:val="singleLevel"/>
    <w:tmpl w:val="518E61EA"/>
    <w:lvl w:ilvl="0" w:tentative="0">
      <w:start w:val="7"/>
      <w:numFmt w:val="chineseCounting"/>
      <w:suff w:val="nothing"/>
      <w:lvlText w:val="%1、"/>
      <w:lvlJc w:val="left"/>
      <w:rPr>
        <w:rFonts w:hint="eastAsia"/>
      </w:rPr>
    </w:lvl>
  </w:abstractNum>
  <w:abstractNum w:abstractNumId="3">
    <w:nsid w:val="6EC8DC21"/>
    <w:multiLevelType w:val="singleLevel"/>
    <w:tmpl w:val="6EC8DC21"/>
    <w:lvl w:ilvl="0" w:tentative="0">
      <w:start w:val="2"/>
      <w:numFmt w:val="chineseCounting"/>
      <w:suff w:val="nothing"/>
      <w:lvlText w:val="（%1）"/>
      <w:lvlJc w:val="left"/>
      <w:rPr>
        <w:rFonts w:hint="eastAsia"/>
      </w:r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420"/>
  <w:drawingGridHorizontalSpacing w:val="120"/>
  <w:drawingGridVerticalSpacing w:val="163"/>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JhMDExMDkyMTQ4ZDY0NDlkYTYyYWI4YTNlZTMyNjYifQ=="/>
  </w:docVars>
  <w:rsids>
    <w:rsidRoot w:val="00731006"/>
    <w:rsid w:val="00004310"/>
    <w:rsid w:val="00011B8D"/>
    <w:rsid w:val="00020E21"/>
    <w:rsid w:val="000237CF"/>
    <w:rsid w:val="00024A5A"/>
    <w:rsid w:val="00026ACA"/>
    <w:rsid w:val="0004166E"/>
    <w:rsid w:val="00044D85"/>
    <w:rsid w:val="00046A1C"/>
    <w:rsid w:val="000652AB"/>
    <w:rsid w:val="00067E42"/>
    <w:rsid w:val="000725DB"/>
    <w:rsid w:val="000758DD"/>
    <w:rsid w:val="000768A2"/>
    <w:rsid w:val="000A026A"/>
    <w:rsid w:val="000B11B4"/>
    <w:rsid w:val="000E55E8"/>
    <w:rsid w:val="000E5AF0"/>
    <w:rsid w:val="000E714D"/>
    <w:rsid w:val="000F28B7"/>
    <w:rsid w:val="00112E86"/>
    <w:rsid w:val="001134CD"/>
    <w:rsid w:val="00117856"/>
    <w:rsid w:val="0011786C"/>
    <w:rsid w:val="00120246"/>
    <w:rsid w:val="00141E62"/>
    <w:rsid w:val="00152120"/>
    <w:rsid w:val="001522DA"/>
    <w:rsid w:val="00153C5C"/>
    <w:rsid w:val="00165AC5"/>
    <w:rsid w:val="00190DFF"/>
    <w:rsid w:val="00192565"/>
    <w:rsid w:val="0019604A"/>
    <w:rsid w:val="001A7536"/>
    <w:rsid w:val="001C0A0D"/>
    <w:rsid w:val="001D1BE1"/>
    <w:rsid w:val="001E1DCA"/>
    <w:rsid w:val="001E6300"/>
    <w:rsid w:val="001E7F53"/>
    <w:rsid w:val="001F50D6"/>
    <w:rsid w:val="00246D1F"/>
    <w:rsid w:val="00254932"/>
    <w:rsid w:val="002570D2"/>
    <w:rsid w:val="00257881"/>
    <w:rsid w:val="00260E32"/>
    <w:rsid w:val="00262C8A"/>
    <w:rsid w:val="00263513"/>
    <w:rsid w:val="0027225C"/>
    <w:rsid w:val="00274DA3"/>
    <w:rsid w:val="00277A91"/>
    <w:rsid w:val="0029464E"/>
    <w:rsid w:val="002B0A00"/>
    <w:rsid w:val="002C669C"/>
    <w:rsid w:val="002D6D43"/>
    <w:rsid w:val="002E73BD"/>
    <w:rsid w:val="002F56DB"/>
    <w:rsid w:val="003463CC"/>
    <w:rsid w:val="003514F0"/>
    <w:rsid w:val="00351B32"/>
    <w:rsid w:val="003647CF"/>
    <w:rsid w:val="00367498"/>
    <w:rsid w:val="00383097"/>
    <w:rsid w:val="00391928"/>
    <w:rsid w:val="00394001"/>
    <w:rsid w:val="003A4001"/>
    <w:rsid w:val="003B7431"/>
    <w:rsid w:val="003C4FFF"/>
    <w:rsid w:val="003D0BEF"/>
    <w:rsid w:val="003D3F4F"/>
    <w:rsid w:val="003E7239"/>
    <w:rsid w:val="003F5BB7"/>
    <w:rsid w:val="003F5C68"/>
    <w:rsid w:val="004048AD"/>
    <w:rsid w:val="004048F0"/>
    <w:rsid w:val="00406396"/>
    <w:rsid w:val="00411736"/>
    <w:rsid w:val="0042301E"/>
    <w:rsid w:val="004301D0"/>
    <w:rsid w:val="00435228"/>
    <w:rsid w:val="004604EC"/>
    <w:rsid w:val="0046335C"/>
    <w:rsid w:val="0047051B"/>
    <w:rsid w:val="00476E1A"/>
    <w:rsid w:val="00487FF4"/>
    <w:rsid w:val="0049294E"/>
    <w:rsid w:val="004B49A3"/>
    <w:rsid w:val="004B7E75"/>
    <w:rsid w:val="004C1EC8"/>
    <w:rsid w:val="004C1F5E"/>
    <w:rsid w:val="004D2B81"/>
    <w:rsid w:val="004F27AD"/>
    <w:rsid w:val="00500DA4"/>
    <w:rsid w:val="00504DC8"/>
    <w:rsid w:val="005160F4"/>
    <w:rsid w:val="00516971"/>
    <w:rsid w:val="00527563"/>
    <w:rsid w:val="0055030B"/>
    <w:rsid w:val="005513FC"/>
    <w:rsid w:val="00556A92"/>
    <w:rsid w:val="00562ECB"/>
    <w:rsid w:val="00571B4B"/>
    <w:rsid w:val="005733B6"/>
    <w:rsid w:val="005938FB"/>
    <w:rsid w:val="005B1C83"/>
    <w:rsid w:val="005B530A"/>
    <w:rsid w:val="005B7DE6"/>
    <w:rsid w:val="005D0736"/>
    <w:rsid w:val="005F669B"/>
    <w:rsid w:val="00604CAA"/>
    <w:rsid w:val="00613227"/>
    <w:rsid w:val="006167A0"/>
    <w:rsid w:val="00623B1A"/>
    <w:rsid w:val="006614CA"/>
    <w:rsid w:val="006616A6"/>
    <w:rsid w:val="00682C85"/>
    <w:rsid w:val="00696B85"/>
    <w:rsid w:val="006C083E"/>
    <w:rsid w:val="006D4FA6"/>
    <w:rsid w:val="006E03EF"/>
    <w:rsid w:val="006F094C"/>
    <w:rsid w:val="006F597C"/>
    <w:rsid w:val="00707008"/>
    <w:rsid w:val="007104F1"/>
    <w:rsid w:val="0072437C"/>
    <w:rsid w:val="00731006"/>
    <w:rsid w:val="00750216"/>
    <w:rsid w:val="007556CC"/>
    <w:rsid w:val="00773249"/>
    <w:rsid w:val="007921BC"/>
    <w:rsid w:val="007A130E"/>
    <w:rsid w:val="007A7F01"/>
    <w:rsid w:val="007B1657"/>
    <w:rsid w:val="007C26B7"/>
    <w:rsid w:val="008112D4"/>
    <w:rsid w:val="00814EF5"/>
    <w:rsid w:val="00815E5B"/>
    <w:rsid w:val="0083190F"/>
    <w:rsid w:val="00836E97"/>
    <w:rsid w:val="0085403E"/>
    <w:rsid w:val="008801A2"/>
    <w:rsid w:val="0088055F"/>
    <w:rsid w:val="008858E7"/>
    <w:rsid w:val="008875FF"/>
    <w:rsid w:val="008926D6"/>
    <w:rsid w:val="008A2496"/>
    <w:rsid w:val="008B2D8C"/>
    <w:rsid w:val="008D11D8"/>
    <w:rsid w:val="008D604D"/>
    <w:rsid w:val="008D7917"/>
    <w:rsid w:val="008F179F"/>
    <w:rsid w:val="00902DE6"/>
    <w:rsid w:val="00914AF0"/>
    <w:rsid w:val="00914CFB"/>
    <w:rsid w:val="00923471"/>
    <w:rsid w:val="009264FB"/>
    <w:rsid w:val="00930E2A"/>
    <w:rsid w:val="009476C3"/>
    <w:rsid w:val="009705FC"/>
    <w:rsid w:val="009766C8"/>
    <w:rsid w:val="00977BCB"/>
    <w:rsid w:val="00993A69"/>
    <w:rsid w:val="009A6166"/>
    <w:rsid w:val="009B20B2"/>
    <w:rsid w:val="009B6A2C"/>
    <w:rsid w:val="009D122A"/>
    <w:rsid w:val="009E27AB"/>
    <w:rsid w:val="009F2C4D"/>
    <w:rsid w:val="009F5BCC"/>
    <w:rsid w:val="00A075B5"/>
    <w:rsid w:val="00A4085C"/>
    <w:rsid w:val="00A53AC5"/>
    <w:rsid w:val="00A85D7B"/>
    <w:rsid w:val="00A9033D"/>
    <w:rsid w:val="00A92D62"/>
    <w:rsid w:val="00AA7370"/>
    <w:rsid w:val="00AB27F1"/>
    <w:rsid w:val="00AB2B69"/>
    <w:rsid w:val="00AC36AA"/>
    <w:rsid w:val="00AD3C1E"/>
    <w:rsid w:val="00AE5894"/>
    <w:rsid w:val="00B13307"/>
    <w:rsid w:val="00B23129"/>
    <w:rsid w:val="00B3504A"/>
    <w:rsid w:val="00B40E37"/>
    <w:rsid w:val="00B44470"/>
    <w:rsid w:val="00B54E1E"/>
    <w:rsid w:val="00B65753"/>
    <w:rsid w:val="00B83EE0"/>
    <w:rsid w:val="00BA216D"/>
    <w:rsid w:val="00BC61F0"/>
    <w:rsid w:val="00BD4C0F"/>
    <w:rsid w:val="00BD5723"/>
    <w:rsid w:val="00BE1429"/>
    <w:rsid w:val="00BE1B3F"/>
    <w:rsid w:val="00BE60A0"/>
    <w:rsid w:val="00C12FCB"/>
    <w:rsid w:val="00C71778"/>
    <w:rsid w:val="00C92499"/>
    <w:rsid w:val="00CA0FED"/>
    <w:rsid w:val="00CA4A00"/>
    <w:rsid w:val="00CB6DDC"/>
    <w:rsid w:val="00CC6874"/>
    <w:rsid w:val="00CD22C4"/>
    <w:rsid w:val="00CD2AFA"/>
    <w:rsid w:val="00CD509C"/>
    <w:rsid w:val="00CF26DD"/>
    <w:rsid w:val="00CF2BB9"/>
    <w:rsid w:val="00D104A7"/>
    <w:rsid w:val="00D14DB0"/>
    <w:rsid w:val="00D15DBA"/>
    <w:rsid w:val="00D23242"/>
    <w:rsid w:val="00D246CD"/>
    <w:rsid w:val="00D415CE"/>
    <w:rsid w:val="00D44B5F"/>
    <w:rsid w:val="00D533D2"/>
    <w:rsid w:val="00D641CC"/>
    <w:rsid w:val="00D70FE7"/>
    <w:rsid w:val="00D737B2"/>
    <w:rsid w:val="00D86262"/>
    <w:rsid w:val="00D8654B"/>
    <w:rsid w:val="00DA017B"/>
    <w:rsid w:val="00DA4900"/>
    <w:rsid w:val="00DB21F4"/>
    <w:rsid w:val="00DC08C3"/>
    <w:rsid w:val="00DC5F2B"/>
    <w:rsid w:val="00DC622D"/>
    <w:rsid w:val="00DD099D"/>
    <w:rsid w:val="00DD1197"/>
    <w:rsid w:val="00DD27BF"/>
    <w:rsid w:val="00DD3CDA"/>
    <w:rsid w:val="00DD7E53"/>
    <w:rsid w:val="00DE592A"/>
    <w:rsid w:val="00DF3897"/>
    <w:rsid w:val="00E16FE1"/>
    <w:rsid w:val="00E24BCC"/>
    <w:rsid w:val="00E26B1D"/>
    <w:rsid w:val="00E37A7A"/>
    <w:rsid w:val="00E55BE5"/>
    <w:rsid w:val="00E71EFA"/>
    <w:rsid w:val="00E85D1F"/>
    <w:rsid w:val="00EA38CE"/>
    <w:rsid w:val="00EC348F"/>
    <w:rsid w:val="00EE0B70"/>
    <w:rsid w:val="00EE1D33"/>
    <w:rsid w:val="00EF3018"/>
    <w:rsid w:val="00F02C70"/>
    <w:rsid w:val="00F07FE2"/>
    <w:rsid w:val="00F266B7"/>
    <w:rsid w:val="00F466E6"/>
    <w:rsid w:val="00F53442"/>
    <w:rsid w:val="00F67E4B"/>
    <w:rsid w:val="00F72F45"/>
    <w:rsid w:val="00F9467E"/>
    <w:rsid w:val="00FB3D68"/>
    <w:rsid w:val="00FF47C1"/>
    <w:rsid w:val="01400C69"/>
    <w:rsid w:val="01F307CF"/>
    <w:rsid w:val="02291C66"/>
    <w:rsid w:val="023D3627"/>
    <w:rsid w:val="02C17BD4"/>
    <w:rsid w:val="02F634A5"/>
    <w:rsid w:val="03605133"/>
    <w:rsid w:val="037B6A9F"/>
    <w:rsid w:val="03B16EFA"/>
    <w:rsid w:val="043A0A20"/>
    <w:rsid w:val="0459378E"/>
    <w:rsid w:val="04D40588"/>
    <w:rsid w:val="05205AEF"/>
    <w:rsid w:val="063F0A13"/>
    <w:rsid w:val="07CA43E4"/>
    <w:rsid w:val="07D1224B"/>
    <w:rsid w:val="07D505B1"/>
    <w:rsid w:val="0864349D"/>
    <w:rsid w:val="08657746"/>
    <w:rsid w:val="08D87DDA"/>
    <w:rsid w:val="095742E5"/>
    <w:rsid w:val="095F548F"/>
    <w:rsid w:val="0AB42A48"/>
    <w:rsid w:val="0B233E4B"/>
    <w:rsid w:val="0B8A409E"/>
    <w:rsid w:val="0BA53A2D"/>
    <w:rsid w:val="0C056DDF"/>
    <w:rsid w:val="0D021748"/>
    <w:rsid w:val="0D392957"/>
    <w:rsid w:val="0DAA2F09"/>
    <w:rsid w:val="0DAC2EB8"/>
    <w:rsid w:val="0DD60A15"/>
    <w:rsid w:val="0E48700C"/>
    <w:rsid w:val="0E5378BC"/>
    <w:rsid w:val="0F680A5F"/>
    <w:rsid w:val="1033163B"/>
    <w:rsid w:val="10853E2D"/>
    <w:rsid w:val="118B6E7F"/>
    <w:rsid w:val="11967974"/>
    <w:rsid w:val="11E657A9"/>
    <w:rsid w:val="123D518D"/>
    <w:rsid w:val="127B2577"/>
    <w:rsid w:val="128819B3"/>
    <w:rsid w:val="12B632E1"/>
    <w:rsid w:val="12EB47F1"/>
    <w:rsid w:val="13DC7D52"/>
    <w:rsid w:val="14082DF4"/>
    <w:rsid w:val="14373691"/>
    <w:rsid w:val="1441006B"/>
    <w:rsid w:val="15CE0478"/>
    <w:rsid w:val="15F835A6"/>
    <w:rsid w:val="16BC3FFD"/>
    <w:rsid w:val="16EF117B"/>
    <w:rsid w:val="171A31EB"/>
    <w:rsid w:val="194B605F"/>
    <w:rsid w:val="1952433A"/>
    <w:rsid w:val="19BB1926"/>
    <w:rsid w:val="19D13FFF"/>
    <w:rsid w:val="1B0A2E67"/>
    <w:rsid w:val="1B295B9C"/>
    <w:rsid w:val="1B530D67"/>
    <w:rsid w:val="1C0C59AF"/>
    <w:rsid w:val="1C422BD3"/>
    <w:rsid w:val="1D097B5B"/>
    <w:rsid w:val="1D51771C"/>
    <w:rsid w:val="1D886B5D"/>
    <w:rsid w:val="1E3E067E"/>
    <w:rsid w:val="1F4F5502"/>
    <w:rsid w:val="1F5B58A5"/>
    <w:rsid w:val="1F627232"/>
    <w:rsid w:val="1F8C6F93"/>
    <w:rsid w:val="1F9C7AC0"/>
    <w:rsid w:val="20024C12"/>
    <w:rsid w:val="20295BDD"/>
    <w:rsid w:val="20674665"/>
    <w:rsid w:val="207A50E8"/>
    <w:rsid w:val="211A058B"/>
    <w:rsid w:val="211F0573"/>
    <w:rsid w:val="22251365"/>
    <w:rsid w:val="22FA4FE6"/>
    <w:rsid w:val="23AA32D5"/>
    <w:rsid w:val="23CA146F"/>
    <w:rsid w:val="23DE28B4"/>
    <w:rsid w:val="24463799"/>
    <w:rsid w:val="25720551"/>
    <w:rsid w:val="25D97C8A"/>
    <w:rsid w:val="26FD0D49"/>
    <w:rsid w:val="27395DE0"/>
    <w:rsid w:val="27832A60"/>
    <w:rsid w:val="27B57D38"/>
    <w:rsid w:val="280952F9"/>
    <w:rsid w:val="286F7FFA"/>
    <w:rsid w:val="28A91EA2"/>
    <w:rsid w:val="28D76D98"/>
    <w:rsid w:val="296D3796"/>
    <w:rsid w:val="2A81608F"/>
    <w:rsid w:val="2AA21F8F"/>
    <w:rsid w:val="2AAB67C7"/>
    <w:rsid w:val="2B381FB0"/>
    <w:rsid w:val="2B5A638B"/>
    <w:rsid w:val="2C4C35F9"/>
    <w:rsid w:val="2CD77367"/>
    <w:rsid w:val="2D3B33EE"/>
    <w:rsid w:val="2D731278"/>
    <w:rsid w:val="2DF674F5"/>
    <w:rsid w:val="2E0134AD"/>
    <w:rsid w:val="2E73037E"/>
    <w:rsid w:val="2EC375B5"/>
    <w:rsid w:val="2F063926"/>
    <w:rsid w:val="30126E54"/>
    <w:rsid w:val="302E0926"/>
    <w:rsid w:val="30671268"/>
    <w:rsid w:val="31C93A88"/>
    <w:rsid w:val="31D047FA"/>
    <w:rsid w:val="31D216DD"/>
    <w:rsid w:val="33CC4CA2"/>
    <w:rsid w:val="341D62A5"/>
    <w:rsid w:val="35846BEA"/>
    <w:rsid w:val="35F805F4"/>
    <w:rsid w:val="3641301F"/>
    <w:rsid w:val="36B32A45"/>
    <w:rsid w:val="36EA0114"/>
    <w:rsid w:val="37420806"/>
    <w:rsid w:val="37492C0F"/>
    <w:rsid w:val="37C345AD"/>
    <w:rsid w:val="38B1583C"/>
    <w:rsid w:val="3A566DA2"/>
    <w:rsid w:val="3BAB62C6"/>
    <w:rsid w:val="3C292100"/>
    <w:rsid w:val="3C510C7B"/>
    <w:rsid w:val="3C9915BE"/>
    <w:rsid w:val="3D3E49AF"/>
    <w:rsid w:val="3D440A1C"/>
    <w:rsid w:val="3DB919A7"/>
    <w:rsid w:val="3DCD381A"/>
    <w:rsid w:val="3F1C1833"/>
    <w:rsid w:val="3F42597F"/>
    <w:rsid w:val="3F4D1488"/>
    <w:rsid w:val="3F8E265A"/>
    <w:rsid w:val="3FA622BA"/>
    <w:rsid w:val="3FDD5DD9"/>
    <w:rsid w:val="40A81755"/>
    <w:rsid w:val="41645E52"/>
    <w:rsid w:val="43E709D8"/>
    <w:rsid w:val="44116EF6"/>
    <w:rsid w:val="442C7AAA"/>
    <w:rsid w:val="44B17233"/>
    <w:rsid w:val="4543393B"/>
    <w:rsid w:val="46342885"/>
    <w:rsid w:val="46515B20"/>
    <w:rsid w:val="46BA69A3"/>
    <w:rsid w:val="47E06950"/>
    <w:rsid w:val="47FD7181"/>
    <w:rsid w:val="486A50DB"/>
    <w:rsid w:val="48730ED8"/>
    <w:rsid w:val="496B5174"/>
    <w:rsid w:val="49AB1508"/>
    <w:rsid w:val="4A1F16DC"/>
    <w:rsid w:val="4AB4263E"/>
    <w:rsid w:val="4D6F4F13"/>
    <w:rsid w:val="4EF05156"/>
    <w:rsid w:val="500E557E"/>
    <w:rsid w:val="507B1980"/>
    <w:rsid w:val="50BF2202"/>
    <w:rsid w:val="51ED6B61"/>
    <w:rsid w:val="5267447F"/>
    <w:rsid w:val="52A817C1"/>
    <w:rsid w:val="52BB6C5F"/>
    <w:rsid w:val="531B420E"/>
    <w:rsid w:val="541C0DB8"/>
    <w:rsid w:val="548F59EB"/>
    <w:rsid w:val="549057B6"/>
    <w:rsid w:val="54C80BB6"/>
    <w:rsid w:val="54EB0B2C"/>
    <w:rsid w:val="55A3797B"/>
    <w:rsid w:val="55A53284"/>
    <w:rsid w:val="562944BA"/>
    <w:rsid w:val="56533F6C"/>
    <w:rsid w:val="57D807E3"/>
    <w:rsid w:val="57FB3A3A"/>
    <w:rsid w:val="588315C7"/>
    <w:rsid w:val="596516D3"/>
    <w:rsid w:val="59875AED"/>
    <w:rsid w:val="5A441D8B"/>
    <w:rsid w:val="5A652ED1"/>
    <w:rsid w:val="5AB0697E"/>
    <w:rsid w:val="5ABC47B3"/>
    <w:rsid w:val="5ABD1D13"/>
    <w:rsid w:val="5B48042D"/>
    <w:rsid w:val="5B8D4072"/>
    <w:rsid w:val="5B9D6319"/>
    <w:rsid w:val="5BDE7AC6"/>
    <w:rsid w:val="5BFE2BDC"/>
    <w:rsid w:val="5C1462B1"/>
    <w:rsid w:val="5C9347A9"/>
    <w:rsid w:val="5D7E0FB5"/>
    <w:rsid w:val="5E960735"/>
    <w:rsid w:val="5EDC0BA8"/>
    <w:rsid w:val="5F3F2740"/>
    <w:rsid w:val="5F412900"/>
    <w:rsid w:val="5F726997"/>
    <w:rsid w:val="600B4656"/>
    <w:rsid w:val="60BD4004"/>
    <w:rsid w:val="610C1869"/>
    <w:rsid w:val="62BC14D0"/>
    <w:rsid w:val="63F40370"/>
    <w:rsid w:val="658B1D37"/>
    <w:rsid w:val="65B466B1"/>
    <w:rsid w:val="66346B36"/>
    <w:rsid w:val="664E0FB5"/>
    <w:rsid w:val="668C4E54"/>
    <w:rsid w:val="66EE5C84"/>
    <w:rsid w:val="676E431C"/>
    <w:rsid w:val="69700539"/>
    <w:rsid w:val="699A52B8"/>
    <w:rsid w:val="6AA627D7"/>
    <w:rsid w:val="6B842586"/>
    <w:rsid w:val="6B8A6D77"/>
    <w:rsid w:val="6C904743"/>
    <w:rsid w:val="6CF40DC4"/>
    <w:rsid w:val="6D1C53CA"/>
    <w:rsid w:val="6D80255D"/>
    <w:rsid w:val="6DDA4AC2"/>
    <w:rsid w:val="6E99612D"/>
    <w:rsid w:val="6EE12F8B"/>
    <w:rsid w:val="6F3F1566"/>
    <w:rsid w:val="6F8D5088"/>
    <w:rsid w:val="700F6524"/>
    <w:rsid w:val="70C311EF"/>
    <w:rsid w:val="726B0282"/>
    <w:rsid w:val="726B6897"/>
    <w:rsid w:val="72EE3AA0"/>
    <w:rsid w:val="7346700D"/>
    <w:rsid w:val="74180ECA"/>
    <w:rsid w:val="751C7030"/>
    <w:rsid w:val="76761669"/>
    <w:rsid w:val="77AD2C99"/>
    <w:rsid w:val="78971439"/>
    <w:rsid w:val="79F900FC"/>
    <w:rsid w:val="7AD718AD"/>
    <w:rsid w:val="7B3523B0"/>
    <w:rsid w:val="7BA00C3C"/>
    <w:rsid w:val="7C4553CA"/>
    <w:rsid w:val="7CC01A26"/>
    <w:rsid w:val="7D262F76"/>
    <w:rsid w:val="7D8D379B"/>
    <w:rsid w:val="7D910439"/>
    <w:rsid w:val="7E13356F"/>
    <w:rsid w:val="7E4707FF"/>
    <w:rsid w:val="7E623574"/>
    <w:rsid w:val="7E9957F7"/>
    <w:rsid w:val="7F9E0CEE"/>
    <w:rsid w:val="7FB84310"/>
    <w:rsid w:val="7FEE4888"/>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qFormat="1" w:uiPriority="99" w:name="FollowedHyperlink"/>
    <w:lsdException w:qFormat="1" w:unhideWhenUsed="0" w:uiPriority="22" w:semiHidden="0" w:name="Strong"/>
    <w:lsdException w:qFormat="1" w:unhideWhenUsed="0" w:uiPriority="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qFormat="1" w:uiPriority="99" w:name="HTML Code"/>
    <w:lsdException w:qFormat="1" w:uiPriority="99" w:name="HTML Definition"/>
    <w:lsdException w:qFormat="1" w:uiPriority="99" w:name="HTML Keyboard"/>
    <w:lsdException w:uiPriority="99" w:name="HTML Preformatted"/>
    <w:lsdException w:qFormat="1"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4"/>
      <w:szCs w:val="24"/>
      <w:lang w:val="en-US" w:eastAsia="zh-CN" w:bidi="ar-SA"/>
    </w:rPr>
  </w:style>
  <w:style w:type="paragraph" w:styleId="2">
    <w:name w:val="heading 1"/>
    <w:basedOn w:val="1"/>
    <w:next w:val="1"/>
    <w:link w:val="18"/>
    <w:qFormat/>
    <w:uiPriority w:val="9"/>
    <w:pPr>
      <w:widowControl/>
      <w:spacing w:before="100" w:beforeAutospacing="1" w:after="100" w:afterAutospacing="1"/>
      <w:jc w:val="left"/>
      <w:outlineLvl w:val="0"/>
    </w:pPr>
    <w:rPr>
      <w:rFonts w:ascii="Times New Roman" w:hAnsi="Times New Roman" w:cs="Times New Roman"/>
      <w:b/>
      <w:bCs/>
      <w:kern w:val="36"/>
      <w:sz w:val="48"/>
      <w:szCs w:val="48"/>
    </w:rPr>
  </w:style>
  <w:style w:type="character" w:default="1" w:styleId="9">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3">
    <w:name w:val="Balloon Text"/>
    <w:basedOn w:val="1"/>
    <w:link w:val="22"/>
    <w:semiHidden/>
    <w:unhideWhenUsed/>
    <w:qFormat/>
    <w:uiPriority w:val="99"/>
    <w:rPr>
      <w:sz w:val="18"/>
      <w:szCs w:val="18"/>
    </w:rPr>
  </w:style>
  <w:style w:type="paragraph" w:styleId="4">
    <w:name w:val="footer"/>
    <w:basedOn w:val="1"/>
    <w:link w:val="21"/>
    <w:unhideWhenUsed/>
    <w:qFormat/>
    <w:uiPriority w:val="99"/>
    <w:pPr>
      <w:tabs>
        <w:tab w:val="center" w:pos="4153"/>
        <w:tab w:val="right" w:pos="8306"/>
      </w:tabs>
      <w:snapToGrid w:val="0"/>
      <w:jc w:val="left"/>
    </w:pPr>
    <w:rPr>
      <w:sz w:val="18"/>
      <w:szCs w:val="18"/>
    </w:rPr>
  </w:style>
  <w:style w:type="paragraph" w:styleId="5">
    <w:name w:val="header"/>
    <w:basedOn w:val="1"/>
    <w:link w:val="20"/>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semiHidden/>
    <w:unhideWhenUsed/>
    <w:qFormat/>
    <w:uiPriority w:val="99"/>
    <w:pPr>
      <w:jc w:val="left"/>
    </w:pPr>
    <w:rPr>
      <w:rFonts w:cs="Times New Roman"/>
      <w:kern w:val="0"/>
    </w:rPr>
  </w:style>
  <w:style w:type="table" w:styleId="8">
    <w:name w:val="Table Grid"/>
    <w:basedOn w:val="7"/>
    <w:qFormat/>
    <w:uiPriority w:val="59"/>
    <w:rPr>
      <w:sz w:val="21"/>
      <w:szCs w:val="22"/>
    </w:r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character" w:styleId="10">
    <w:name w:val="Strong"/>
    <w:basedOn w:val="9"/>
    <w:qFormat/>
    <w:uiPriority w:val="22"/>
    <w:rPr>
      <w:b/>
      <w:bCs/>
    </w:rPr>
  </w:style>
  <w:style w:type="character" w:styleId="11">
    <w:name w:val="FollowedHyperlink"/>
    <w:basedOn w:val="9"/>
    <w:semiHidden/>
    <w:unhideWhenUsed/>
    <w:qFormat/>
    <w:uiPriority w:val="99"/>
    <w:rPr>
      <w:color w:val="800080"/>
      <w:u w:val="none"/>
    </w:rPr>
  </w:style>
  <w:style w:type="character" w:styleId="12">
    <w:name w:val="Emphasis"/>
    <w:basedOn w:val="9"/>
    <w:qFormat/>
    <w:uiPriority w:val="0"/>
    <w:rPr>
      <w:i/>
    </w:rPr>
  </w:style>
  <w:style w:type="character" w:styleId="13">
    <w:name w:val="HTML Definition"/>
    <w:basedOn w:val="9"/>
    <w:semiHidden/>
    <w:unhideWhenUsed/>
    <w:qFormat/>
    <w:uiPriority w:val="99"/>
    <w:rPr>
      <w:i/>
    </w:rPr>
  </w:style>
  <w:style w:type="character" w:styleId="14">
    <w:name w:val="Hyperlink"/>
    <w:basedOn w:val="9"/>
    <w:qFormat/>
    <w:uiPriority w:val="0"/>
    <w:rPr>
      <w:color w:val="0000FF"/>
      <w:u w:val="single"/>
    </w:rPr>
  </w:style>
  <w:style w:type="character" w:styleId="15">
    <w:name w:val="HTML Code"/>
    <w:basedOn w:val="9"/>
    <w:semiHidden/>
    <w:unhideWhenUsed/>
    <w:qFormat/>
    <w:uiPriority w:val="99"/>
    <w:rPr>
      <w:rFonts w:ascii="Consolas" w:hAnsi="Consolas" w:eastAsia="Consolas" w:cs="Consolas"/>
      <w:color w:val="C7254E"/>
      <w:sz w:val="21"/>
      <w:szCs w:val="21"/>
      <w:shd w:val="clear" w:color="auto" w:fill="F9F2F4"/>
    </w:rPr>
  </w:style>
  <w:style w:type="character" w:styleId="16">
    <w:name w:val="HTML Keyboard"/>
    <w:basedOn w:val="9"/>
    <w:semiHidden/>
    <w:unhideWhenUsed/>
    <w:qFormat/>
    <w:uiPriority w:val="99"/>
    <w:rPr>
      <w:rFonts w:hint="default" w:ascii="Consolas" w:hAnsi="Consolas" w:eastAsia="Consolas" w:cs="Consolas"/>
      <w:color w:val="FFFFFF"/>
      <w:sz w:val="21"/>
      <w:szCs w:val="21"/>
      <w:shd w:val="clear" w:color="auto" w:fill="333333"/>
    </w:rPr>
  </w:style>
  <w:style w:type="character" w:styleId="17">
    <w:name w:val="HTML Sample"/>
    <w:basedOn w:val="9"/>
    <w:semiHidden/>
    <w:unhideWhenUsed/>
    <w:qFormat/>
    <w:uiPriority w:val="99"/>
    <w:rPr>
      <w:rFonts w:hint="default" w:ascii="Consolas" w:hAnsi="Consolas" w:eastAsia="Consolas" w:cs="Consolas"/>
      <w:sz w:val="21"/>
      <w:szCs w:val="21"/>
    </w:rPr>
  </w:style>
  <w:style w:type="character" w:customStyle="1" w:styleId="18">
    <w:name w:val="标题 1 Char"/>
    <w:basedOn w:val="9"/>
    <w:link w:val="2"/>
    <w:qFormat/>
    <w:uiPriority w:val="9"/>
    <w:rPr>
      <w:rFonts w:ascii="Times New Roman" w:hAnsi="Times New Roman" w:cs="Times New Roman"/>
      <w:b/>
      <w:bCs/>
      <w:kern w:val="36"/>
      <w:sz w:val="48"/>
      <w:szCs w:val="48"/>
    </w:rPr>
  </w:style>
  <w:style w:type="paragraph" w:customStyle="1" w:styleId="19">
    <w:name w:val="custom_unionstyle"/>
    <w:basedOn w:val="1"/>
    <w:qFormat/>
    <w:uiPriority w:val="0"/>
    <w:pPr>
      <w:widowControl/>
      <w:spacing w:before="100" w:beforeAutospacing="1" w:after="100" w:afterAutospacing="1"/>
      <w:jc w:val="left"/>
    </w:pPr>
    <w:rPr>
      <w:rFonts w:ascii="Times New Roman" w:hAnsi="Times New Roman" w:cs="Times New Roman"/>
      <w:kern w:val="0"/>
    </w:rPr>
  </w:style>
  <w:style w:type="character" w:customStyle="1" w:styleId="20">
    <w:name w:val="页眉 Char"/>
    <w:basedOn w:val="9"/>
    <w:link w:val="5"/>
    <w:qFormat/>
    <w:uiPriority w:val="99"/>
    <w:rPr>
      <w:sz w:val="18"/>
      <w:szCs w:val="18"/>
    </w:rPr>
  </w:style>
  <w:style w:type="character" w:customStyle="1" w:styleId="21">
    <w:name w:val="页脚 Char"/>
    <w:basedOn w:val="9"/>
    <w:link w:val="4"/>
    <w:qFormat/>
    <w:uiPriority w:val="99"/>
    <w:rPr>
      <w:sz w:val="18"/>
      <w:szCs w:val="18"/>
    </w:rPr>
  </w:style>
  <w:style w:type="character" w:customStyle="1" w:styleId="22">
    <w:name w:val="批注框文本 Char"/>
    <w:basedOn w:val="9"/>
    <w:link w:val="3"/>
    <w:semiHidden/>
    <w:qFormat/>
    <w:uiPriority w:val="99"/>
    <w:rPr>
      <w:kern w:val="2"/>
      <w:sz w:val="18"/>
      <w:szCs w:val="18"/>
    </w:rPr>
  </w:style>
  <w:style w:type="paragraph" w:customStyle="1" w:styleId="23">
    <w:name w:val="p0"/>
    <w:basedOn w:val="1"/>
    <w:qFormat/>
    <w:uiPriority w:val="0"/>
    <w:pPr>
      <w:widowControl/>
    </w:pPr>
    <w:rPr>
      <w:kern w:val="0"/>
      <w:szCs w:val="21"/>
    </w:rPr>
  </w:style>
  <w:style w:type="character" w:customStyle="1" w:styleId="24">
    <w:name w:val="nth-child(1)"/>
    <w:basedOn w:val="9"/>
    <w:qFormat/>
    <w:uiPriority w:val="0"/>
  </w:style>
  <w:style w:type="character" w:customStyle="1" w:styleId="25">
    <w:name w:val="nth-child(1)1"/>
    <w:basedOn w:val="9"/>
    <w:qFormat/>
    <w:uiPriority w:val="0"/>
    <w:rPr>
      <w:bdr w:val="single" w:color="auto" w:sz="12" w:space="0"/>
    </w:rPr>
  </w:style>
  <w:style w:type="character" w:customStyle="1" w:styleId="26">
    <w:name w:val="last-child1"/>
    <w:basedOn w:val="9"/>
    <w:qFormat/>
    <w:uiPriority w:val="0"/>
    <w:rPr>
      <w:color w:val="FB334B"/>
    </w:rPr>
  </w:style>
  <w:style w:type="character" w:customStyle="1" w:styleId="27">
    <w:name w:val="nth-child(3)"/>
    <w:basedOn w:val="9"/>
    <w:qFormat/>
    <w:uiPriority w:val="0"/>
  </w:style>
  <w:style w:type="character" w:customStyle="1" w:styleId="28">
    <w:name w:val="first-child"/>
    <w:basedOn w:val="9"/>
    <w:qFormat/>
    <w:uiPriority w:val="0"/>
    <w:rPr>
      <w:color w:val="999999"/>
    </w:rPr>
  </w:style>
  <w:style w:type="character" w:customStyle="1" w:styleId="29">
    <w:name w:val="font41"/>
    <w:basedOn w:val="9"/>
    <w:qFormat/>
    <w:uiPriority w:val="0"/>
    <w:rPr>
      <w:rFonts w:hint="eastAsia" w:ascii="黑体" w:hAnsi="宋体" w:eastAsia="黑体" w:cs="黑体"/>
      <w:color w:val="000000"/>
      <w:sz w:val="20"/>
      <w:szCs w:val="20"/>
      <w:u w:val="none"/>
    </w:rPr>
  </w:style>
  <w:style w:type="character" w:customStyle="1" w:styleId="30">
    <w:name w:val="font31"/>
    <w:basedOn w:val="9"/>
    <w:qFormat/>
    <w:uiPriority w:val="0"/>
    <w:rPr>
      <w:rFonts w:hint="eastAsia" w:ascii="黑体" w:hAnsi="宋体" w:eastAsia="黑体" w:cs="黑体"/>
      <w:color w:val="000000"/>
      <w:sz w:val="20"/>
      <w:szCs w:val="20"/>
      <w:u w:val="none"/>
    </w:rPr>
  </w:style>
  <w:style w:type="paragraph" w:styleId="31">
    <w:name w:val="List Paragraph"/>
    <w:basedOn w:val="1"/>
    <w:qFormat/>
    <w:uiPriority w:val="34"/>
    <w:pPr>
      <w:ind w:firstLine="420" w:firstLineChars="200"/>
    </w:pPr>
  </w:style>
  <w:style w:type="paragraph" w:customStyle="1" w:styleId="32">
    <w:name w:val="Default"/>
    <w:unhideWhenUsed/>
    <w:qFormat/>
    <w:uiPriority w:val="0"/>
    <w:pPr>
      <w:widowControl w:val="0"/>
      <w:autoSpaceDE w:val="0"/>
      <w:autoSpaceDN w:val="0"/>
      <w:adjustRightInd w:val="0"/>
      <w:snapToGrid w:val="0"/>
      <w:spacing w:line="360" w:lineRule="auto"/>
      <w:ind w:firstLine="560" w:firstLineChars="200"/>
      <w:jc w:val="both"/>
    </w:pPr>
    <w:rPr>
      <w:rFonts w:hint="eastAsia" w:ascii="宋体" w:hAnsi="宋体" w:eastAsiaTheme="minorEastAsia" w:cstheme="minorBidi"/>
      <w:color w:val="000000"/>
      <w:sz w:val="24"/>
      <w:szCs w:val="22"/>
      <w:lang w:val="en-US" w:eastAsia="zh-CN" w:bidi="ar-SA"/>
    </w:rPr>
  </w:style>
  <w:style w:type="paragraph" w:customStyle="1" w:styleId="33">
    <w:name w:val="列出段落1"/>
    <w:basedOn w:val="1"/>
    <w:qFormat/>
    <w:uiPriority w:val="34"/>
    <w:pPr>
      <w:spacing w:after="160" w:line="259" w:lineRule="auto"/>
      <w:ind w:left="720"/>
      <w:contextualSpacing/>
    </w:pPr>
    <w:rPr>
      <w:sz w:val="22"/>
      <w:szCs w:val="22"/>
    </w:rPr>
  </w:style>
  <w:style w:type="character" w:customStyle="1" w:styleId="34">
    <w:name w:val="font11"/>
    <w:basedOn w:val="9"/>
    <w:qFormat/>
    <w:uiPriority w:val="0"/>
    <w:rPr>
      <w:rFonts w:hint="eastAsia" w:ascii="黑体" w:hAnsi="宋体" w:eastAsia="黑体" w:cs="黑体"/>
      <w:color w:val="000000"/>
      <w:sz w:val="20"/>
      <w:szCs w:val="20"/>
      <w:u w:val="none"/>
    </w:rPr>
  </w:style>
  <w:style w:type="character" w:customStyle="1" w:styleId="35">
    <w:name w:val="font21"/>
    <w:basedOn w:val="9"/>
    <w:qFormat/>
    <w:uiPriority w:val="0"/>
    <w:rPr>
      <w:rFonts w:hint="eastAsia" w:ascii="微软雅黑" w:hAnsi="微软雅黑" w:eastAsia="微软雅黑" w:cs="微软雅黑"/>
      <w:color w:val="000000"/>
      <w:sz w:val="20"/>
      <w:szCs w:val="20"/>
      <w:u w:val="none"/>
    </w:r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jpeg"/><Relationship Id="rId7" Type="http://schemas.openxmlformats.org/officeDocument/2006/relationships/image" Target="media/image3.jpeg"/><Relationship Id="rId6" Type="http://schemas.openxmlformats.org/officeDocument/2006/relationships/image" Target="media/image2.jpeg"/><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image" Target="media/image9.jpeg"/><Relationship Id="rId12" Type="http://schemas.openxmlformats.org/officeDocument/2006/relationships/image" Target="media/image8.jpeg"/><Relationship Id="rId11" Type="http://schemas.openxmlformats.org/officeDocument/2006/relationships/image" Target="media/image7.jpeg"/><Relationship Id="rId10" Type="http://schemas.openxmlformats.org/officeDocument/2006/relationships/image" Target="media/image6.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10</Pages>
  <Words>8157</Words>
  <Characters>9575</Characters>
  <Lines>31</Lines>
  <Paragraphs>8</Paragraphs>
  <TotalTime>97</TotalTime>
  <ScaleCrop>false</ScaleCrop>
  <LinksUpToDate>false</LinksUpToDate>
  <CharactersWithSpaces>9618</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2024-12-16T07:48:00Z</dcterms:created>
  <dc:creator>hao tong</dc:creator>
  <cp:lastModifiedBy>yy</cp:lastModifiedBy>
  <cp:lastPrinted>2025-06-03T01:57:00Z</cp:lastPrinted>
  <dcterms:modified xsi:type="dcterms:W3CDTF">2025-07-15T01:17:57Z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658575B8284843779CE343C4F6E0A3AC_13</vt:lpwstr>
  </property>
  <property fmtid="{D5CDD505-2E9C-101B-9397-08002B2CF9AE}" pid="4" name="KSOTemplateDocerSaveRecord">
    <vt:lpwstr>eyJoZGlkIjoiYTU0OTEzNWVjOWY1MjhhNGEwODA1OWY4MWM3ZDExODEiLCJ1c2VySWQiOiIzMDQ5OTIwNTIifQ==</vt:lpwstr>
  </property>
</Properties>
</file>